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83" w:rsidRPr="00676A90" w:rsidRDefault="00560244" w:rsidP="006A2983">
      <w:pPr>
        <w:jc w:val="center"/>
        <w:rPr>
          <w:rFonts w:asciiTheme="majorEastAsia" w:eastAsiaTheme="majorEastAsia" w:hAnsiTheme="majorEastAsia" w:cs="新細明體"/>
          <w:b/>
          <w:color w:val="2A2D31"/>
          <w:lang w:eastAsia="zh-TW"/>
        </w:rPr>
      </w:pPr>
      <w:r w:rsidRPr="00676A90">
        <w:rPr>
          <w:rFonts w:asciiTheme="majorEastAsia" w:eastAsiaTheme="majorEastAsia" w:hAnsiTheme="majorEastAsia" w:hint="eastAsia"/>
          <w:b/>
          <w:lang w:eastAsia="zh-TW"/>
        </w:rPr>
        <w:t>201</w:t>
      </w:r>
      <w:r w:rsidR="007B4D70">
        <w:rPr>
          <w:rFonts w:asciiTheme="majorEastAsia" w:eastAsiaTheme="majorEastAsia" w:hAnsiTheme="majorEastAsia"/>
          <w:b/>
          <w:lang w:eastAsia="zh-TW"/>
        </w:rPr>
        <w:t>9</w:t>
      </w:r>
      <w:r w:rsidR="006A2983" w:rsidRPr="00676A90">
        <w:rPr>
          <w:rFonts w:asciiTheme="majorEastAsia" w:eastAsiaTheme="majorEastAsia" w:hAnsiTheme="majorEastAsia"/>
          <w:b/>
          <w:lang w:eastAsia="zh-TW"/>
        </w:rPr>
        <w:t>澳門高校圖書館聯盟</w:t>
      </w:r>
      <w:r w:rsidR="006A2983" w:rsidRPr="00676A90">
        <w:rPr>
          <w:rFonts w:asciiTheme="majorEastAsia" w:eastAsiaTheme="majorEastAsia" w:hAnsiTheme="majorEastAsia" w:hint="eastAsia"/>
          <w:b/>
          <w:lang w:eastAsia="zh-TW"/>
        </w:rPr>
        <w:t>回顧</w:t>
      </w:r>
    </w:p>
    <w:p w:rsidR="006A2983" w:rsidRPr="00676A90" w:rsidRDefault="006A2983" w:rsidP="006A2983">
      <w:pPr>
        <w:rPr>
          <w:rFonts w:asciiTheme="majorEastAsia" w:eastAsiaTheme="majorEastAsia" w:hAnsiTheme="majorEastAsia" w:cs="新細明體"/>
          <w:color w:val="2A2D31"/>
          <w:lang w:eastAsia="zh-TW"/>
        </w:rPr>
      </w:pPr>
    </w:p>
    <w:p w:rsidR="006A2983" w:rsidRPr="00676A90" w:rsidRDefault="00121195" w:rsidP="006A2983">
      <w:pPr>
        <w:rPr>
          <w:rFonts w:asciiTheme="majorEastAsia" w:eastAsiaTheme="majorEastAsia" w:hAnsiTheme="majorEastAsia"/>
          <w:lang w:eastAsia="zh-TW"/>
        </w:rPr>
      </w:pPr>
      <w:r w:rsidRPr="00676A90">
        <w:rPr>
          <w:rFonts w:asciiTheme="majorEastAsia" w:eastAsiaTheme="majorEastAsia" w:hAnsiTheme="majorEastAsia" w:cs="新細明體" w:hint="eastAsia"/>
          <w:lang w:eastAsia="zh-TW"/>
        </w:rPr>
        <w:t xml:space="preserve">    </w:t>
      </w:r>
      <w:r w:rsidR="007B4D70">
        <w:rPr>
          <w:rFonts w:asciiTheme="majorEastAsia" w:eastAsiaTheme="majorEastAsia" w:hAnsiTheme="majorEastAsia" w:cs="新細明體" w:hint="eastAsia"/>
          <w:lang w:eastAsia="zh-TW"/>
        </w:rPr>
        <w:t>在澳門高等</w:t>
      </w:r>
      <w:r w:rsidR="007B4D70">
        <w:rPr>
          <w:rFonts w:asciiTheme="majorEastAsia" w:eastAsiaTheme="majorEastAsia" w:hAnsiTheme="majorEastAsia" w:cs="新細明體" w:hint="eastAsia"/>
          <w:lang w:eastAsia="zh-HK"/>
        </w:rPr>
        <w:t>教</w:t>
      </w:r>
      <w:r w:rsidR="007B4D70">
        <w:rPr>
          <w:rFonts w:asciiTheme="majorEastAsia" w:eastAsiaTheme="majorEastAsia" w:hAnsiTheme="majorEastAsia" w:cs="新細明體" w:hint="eastAsia"/>
          <w:lang w:eastAsia="zh-TW"/>
        </w:rPr>
        <w:t>育</w:t>
      </w:r>
      <w:r w:rsidR="007B4D70">
        <w:rPr>
          <w:rFonts w:asciiTheme="majorEastAsia" w:eastAsiaTheme="majorEastAsia" w:hAnsiTheme="majorEastAsia" w:cs="新細明體" w:hint="eastAsia"/>
          <w:lang w:eastAsia="zh-HK"/>
        </w:rPr>
        <w:t>局</w:t>
      </w:r>
      <w:r w:rsidR="006A2983" w:rsidRPr="00676A90">
        <w:rPr>
          <w:rFonts w:asciiTheme="majorEastAsia" w:eastAsiaTheme="majorEastAsia" w:hAnsiTheme="majorEastAsia" w:cs="新細明體" w:hint="eastAsia"/>
          <w:lang w:eastAsia="zh-TW"/>
        </w:rPr>
        <w:t>的支持</w:t>
      </w:r>
      <w:r w:rsidR="00107F31">
        <w:rPr>
          <w:rFonts w:asciiTheme="majorEastAsia" w:eastAsiaTheme="majorEastAsia" w:hAnsiTheme="majorEastAsia" w:cs="新細明體" w:hint="eastAsia"/>
          <w:lang w:eastAsia="zh-TW"/>
        </w:rPr>
        <w:t>及澳門圖書館暨資訊管理協會協調</w:t>
      </w:r>
      <w:r w:rsidR="006A2983" w:rsidRPr="00676A90">
        <w:rPr>
          <w:rFonts w:asciiTheme="majorEastAsia" w:eastAsiaTheme="majorEastAsia" w:hAnsiTheme="majorEastAsia" w:cs="新細明體" w:hint="eastAsia"/>
          <w:lang w:eastAsia="zh-TW"/>
        </w:rPr>
        <w:t>下，</w:t>
      </w:r>
      <w:r w:rsidR="006A2983" w:rsidRPr="00676A90">
        <w:rPr>
          <w:rFonts w:asciiTheme="majorEastAsia" w:eastAsiaTheme="majorEastAsia" w:hAnsiTheme="majorEastAsia" w:cs="新細明體"/>
          <w:lang w:eastAsia="zh-TW"/>
        </w:rPr>
        <w:t>由澳門</w:t>
      </w:r>
      <w:r w:rsidR="006A2983" w:rsidRPr="00676A90">
        <w:rPr>
          <w:rFonts w:asciiTheme="majorEastAsia" w:eastAsiaTheme="majorEastAsia" w:hAnsiTheme="majorEastAsia" w:cs="SimSun"/>
          <w:lang w:eastAsia="zh-TW"/>
        </w:rPr>
        <w:t>9所高等院校</w:t>
      </w:r>
      <w:r w:rsidR="006A2983" w:rsidRPr="00676A90">
        <w:rPr>
          <w:rFonts w:asciiTheme="majorEastAsia" w:eastAsiaTheme="majorEastAsia" w:hAnsiTheme="majorEastAsia" w:cs="新細明體"/>
          <w:lang w:eastAsia="zh-TW"/>
        </w:rPr>
        <w:t>圖書館</w:t>
      </w:r>
      <w:r w:rsidR="00107F31">
        <w:rPr>
          <w:rFonts w:asciiTheme="majorEastAsia" w:eastAsiaTheme="majorEastAsia" w:hAnsiTheme="majorEastAsia" w:cs="新細明體"/>
          <w:lang w:eastAsia="zh-TW"/>
        </w:rPr>
        <w:t>組</w:t>
      </w:r>
      <w:r w:rsidR="00107F31">
        <w:rPr>
          <w:rFonts w:asciiTheme="majorEastAsia" w:eastAsiaTheme="majorEastAsia" w:hAnsiTheme="majorEastAsia" w:cs="新細明體" w:hint="eastAsia"/>
          <w:lang w:eastAsia="zh-TW"/>
        </w:rPr>
        <w:t>成</w:t>
      </w:r>
      <w:r w:rsidR="006A2983" w:rsidRPr="00676A90">
        <w:rPr>
          <w:rFonts w:asciiTheme="majorEastAsia" w:eastAsiaTheme="majorEastAsia" w:hAnsiTheme="majorEastAsia"/>
          <w:lang w:eastAsia="zh-TW"/>
        </w:rPr>
        <w:t>澳門高校圖書館聯盟，</w:t>
      </w:r>
      <w:r w:rsidR="006A2983" w:rsidRPr="00676A90">
        <w:rPr>
          <w:rFonts w:asciiTheme="majorEastAsia" w:eastAsiaTheme="majorEastAsia" w:hAnsiTheme="majorEastAsia" w:hint="eastAsia"/>
          <w:lang w:eastAsia="zh-TW"/>
        </w:rPr>
        <w:t>成立目標是為了促進澳門高校圖書館發展，</w:t>
      </w:r>
      <w:r w:rsidR="006A2983" w:rsidRPr="00676A90">
        <w:rPr>
          <w:rFonts w:asciiTheme="majorEastAsia" w:eastAsiaTheme="majorEastAsia" w:hAnsiTheme="majorEastAsia" w:cs="Times New Roman"/>
          <w:lang w:eastAsia="zh-TW"/>
        </w:rPr>
        <w:t>共同推動高校圖書館資源共建、共享、提供高校教學人員和學生更豐富的學習和研究資源</w:t>
      </w:r>
      <w:r w:rsidR="006A2983" w:rsidRPr="00676A90">
        <w:rPr>
          <w:rFonts w:asciiTheme="majorEastAsia" w:eastAsiaTheme="majorEastAsia" w:hAnsiTheme="majorEastAsia" w:cs="Times New Roman" w:hint="eastAsia"/>
          <w:lang w:eastAsia="zh-TW"/>
        </w:rPr>
        <w:t>。</w:t>
      </w:r>
      <w:r w:rsidRPr="00676A90">
        <w:rPr>
          <w:rFonts w:asciiTheme="majorEastAsia" w:eastAsiaTheme="majorEastAsia" w:hAnsiTheme="majorEastAsia" w:cs="Times New Roman" w:hint="eastAsia"/>
          <w:lang w:eastAsia="zh-TW"/>
        </w:rPr>
        <w:t>以下是本聯盟在</w:t>
      </w:r>
      <w:r w:rsidR="00B10CAC" w:rsidRPr="00676A90">
        <w:rPr>
          <w:rFonts w:asciiTheme="majorEastAsia" w:eastAsiaTheme="majorEastAsia" w:hAnsiTheme="majorEastAsia" w:cs="Times New Roman" w:hint="eastAsia"/>
          <w:lang w:eastAsia="zh-TW"/>
        </w:rPr>
        <w:t>201</w:t>
      </w:r>
      <w:r w:rsidR="007B4D70">
        <w:rPr>
          <w:rFonts w:asciiTheme="majorEastAsia" w:eastAsiaTheme="majorEastAsia" w:hAnsiTheme="majorEastAsia" w:cs="Times New Roman" w:hint="eastAsia"/>
          <w:lang w:eastAsia="zh-TW"/>
        </w:rPr>
        <w:t>9</w:t>
      </w:r>
      <w:r w:rsidRPr="00676A90">
        <w:rPr>
          <w:rFonts w:asciiTheme="majorEastAsia" w:eastAsiaTheme="majorEastAsia" w:hAnsiTheme="majorEastAsia" w:cs="Times New Roman" w:hint="eastAsia"/>
          <w:lang w:eastAsia="zh-TW"/>
        </w:rPr>
        <w:t>年開展的各項工作及現況︰</w:t>
      </w:r>
    </w:p>
    <w:p w:rsidR="006A2983" w:rsidRPr="00676A90" w:rsidRDefault="006A2983" w:rsidP="006A2983">
      <w:pPr>
        <w:rPr>
          <w:rFonts w:asciiTheme="majorEastAsia" w:eastAsiaTheme="majorEastAsia" w:hAnsiTheme="majorEastAsia"/>
          <w:lang w:eastAsia="zh-TW"/>
        </w:rPr>
      </w:pPr>
    </w:p>
    <w:p w:rsidR="006A2983" w:rsidRPr="00676A90" w:rsidRDefault="006A2983"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聯盟聯席會議</w:t>
      </w:r>
    </w:p>
    <w:p w:rsidR="006A2983" w:rsidRPr="00676A90" w:rsidRDefault="00E20D0F" w:rsidP="00B41CC8">
      <w:pPr>
        <w:widowControl w:val="0"/>
        <w:rPr>
          <w:rFonts w:asciiTheme="majorEastAsia" w:eastAsiaTheme="majorEastAsia" w:hAnsiTheme="majorEastAsia"/>
          <w:lang w:eastAsia="zh-HK"/>
        </w:rPr>
      </w:pPr>
      <w:r>
        <w:rPr>
          <w:rFonts w:asciiTheme="majorEastAsia" w:eastAsiaTheme="majorEastAsia" w:hAnsiTheme="majorEastAsia" w:hint="eastAsia"/>
          <w:lang w:eastAsia="zh-TW"/>
        </w:rPr>
        <w:t xml:space="preserve">    </w:t>
      </w:r>
      <w:r w:rsidR="00B10CAC" w:rsidRPr="00676A90">
        <w:rPr>
          <w:rFonts w:asciiTheme="majorEastAsia" w:eastAsiaTheme="majorEastAsia" w:hAnsiTheme="majorEastAsia" w:hint="eastAsia"/>
          <w:lang w:eastAsia="zh-TW"/>
        </w:rPr>
        <w:t>201</w:t>
      </w:r>
      <w:r w:rsidR="007B4D70">
        <w:rPr>
          <w:rFonts w:asciiTheme="majorEastAsia" w:eastAsiaTheme="majorEastAsia" w:hAnsiTheme="majorEastAsia" w:hint="eastAsia"/>
          <w:lang w:eastAsia="zh-TW"/>
        </w:rPr>
        <w:t>9</w:t>
      </w:r>
      <w:r w:rsidR="006A2983" w:rsidRPr="00676A90">
        <w:rPr>
          <w:rFonts w:asciiTheme="majorEastAsia" w:eastAsiaTheme="majorEastAsia" w:hAnsiTheme="majorEastAsia" w:hint="eastAsia"/>
          <w:lang w:eastAsia="zh-TW"/>
        </w:rPr>
        <w:t>年</w:t>
      </w:r>
      <w:r w:rsidR="00316A88" w:rsidRPr="00676A90">
        <w:rPr>
          <w:rFonts w:asciiTheme="majorEastAsia" w:eastAsiaTheme="majorEastAsia" w:hAnsiTheme="majorEastAsia" w:hint="eastAsia"/>
          <w:lang w:eastAsia="zh-TW"/>
        </w:rPr>
        <w:t>本</w:t>
      </w:r>
      <w:r w:rsidR="00B10CAC" w:rsidRPr="00676A90">
        <w:rPr>
          <w:rFonts w:asciiTheme="majorEastAsia" w:eastAsiaTheme="majorEastAsia" w:hAnsiTheme="majorEastAsia" w:hint="eastAsia"/>
          <w:lang w:eastAsia="zh-TW"/>
        </w:rPr>
        <w:t>聯盟召開了</w:t>
      </w:r>
      <w:r w:rsidR="00167EBC">
        <w:rPr>
          <w:rFonts w:asciiTheme="majorEastAsia" w:eastAsiaTheme="majorEastAsia" w:hAnsiTheme="majorEastAsia" w:hint="eastAsia"/>
          <w:lang w:eastAsia="zh-HK"/>
        </w:rPr>
        <w:t>一</w:t>
      </w:r>
      <w:r w:rsidR="006A2983" w:rsidRPr="00676A90">
        <w:rPr>
          <w:rFonts w:asciiTheme="majorEastAsia" w:eastAsiaTheme="majorEastAsia" w:hAnsiTheme="majorEastAsia" w:hint="eastAsia"/>
          <w:lang w:eastAsia="zh-TW"/>
        </w:rPr>
        <w:t>次</w:t>
      </w:r>
      <w:r w:rsidR="001D434C" w:rsidRPr="00676A90">
        <w:rPr>
          <w:rFonts w:asciiTheme="majorEastAsia" w:eastAsiaTheme="majorEastAsia" w:hAnsiTheme="majorEastAsia" w:hint="eastAsia"/>
          <w:lang w:eastAsia="zh-TW"/>
        </w:rPr>
        <w:t>聯席</w:t>
      </w:r>
      <w:r w:rsidR="006A2983" w:rsidRPr="00676A90">
        <w:rPr>
          <w:rFonts w:asciiTheme="majorEastAsia" w:eastAsiaTheme="majorEastAsia" w:hAnsiTheme="majorEastAsia" w:hint="eastAsia"/>
          <w:lang w:eastAsia="zh-TW"/>
        </w:rPr>
        <w:t>會議</w:t>
      </w:r>
      <w:r w:rsidR="00722388">
        <w:rPr>
          <w:rFonts w:asciiTheme="majorEastAsia" w:eastAsiaTheme="majorEastAsia" w:hAnsiTheme="majorEastAsia" w:hint="eastAsia"/>
          <w:lang w:eastAsia="zh-HK"/>
        </w:rPr>
        <w:t>及一次</w:t>
      </w:r>
      <w:r w:rsidR="00722388" w:rsidRPr="00722388">
        <w:rPr>
          <w:rFonts w:asciiTheme="majorEastAsia" w:eastAsiaTheme="majorEastAsia" w:hAnsiTheme="majorEastAsia" w:hint="eastAsia"/>
          <w:lang w:eastAsia="zh-HK"/>
        </w:rPr>
        <w:t>資源採購工作委員會會議</w:t>
      </w:r>
      <w:r w:rsidR="00316A88" w:rsidRPr="00676A90">
        <w:rPr>
          <w:rFonts w:asciiTheme="majorEastAsia" w:eastAsiaTheme="majorEastAsia" w:hAnsiTheme="majorEastAsia" w:hint="eastAsia"/>
          <w:lang w:eastAsia="zh-TW"/>
        </w:rPr>
        <w:t>，</w:t>
      </w:r>
      <w:r w:rsidR="00B41CC8">
        <w:rPr>
          <w:rFonts w:asciiTheme="majorEastAsia" w:eastAsiaTheme="majorEastAsia" w:hAnsiTheme="majorEastAsia" w:hint="eastAsia"/>
          <w:lang w:eastAsia="zh-TW"/>
        </w:rPr>
        <w:t>分別是</w:t>
      </w:r>
      <w:r w:rsidR="00B10CAC" w:rsidRPr="00676A90">
        <w:rPr>
          <w:rFonts w:asciiTheme="majorEastAsia" w:eastAsiaTheme="majorEastAsia" w:hAnsiTheme="majorEastAsia" w:hint="eastAsia"/>
          <w:lang w:eastAsia="zh-TW"/>
        </w:rPr>
        <w:t>第</w:t>
      </w:r>
      <w:r w:rsidR="00B41CC8">
        <w:rPr>
          <w:rFonts w:asciiTheme="majorEastAsia" w:eastAsiaTheme="majorEastAsia" w:hAnsiTheme="majorEastAsia" w:hint="eastAsia"/>
          <w:lang w:eastAsia="zh-TW"/>
        </w:rPr>
        <w:t>十</w:t>
      </w:r>
      <w:r w:rsidR="00167EBC">
        <w:rPr>
          <w:rFonts w:asciiTheme="majorEastAsia" w:eastAsiaTheme="majorEastAsia" w:hAnsiTheme="majorEastAsia" w:hint="eastAsia"/>
          <w:lang w:eastAsia="zh-HK"/>
        </w:rPr>
        <w:t>五</w:t>
      </w:r>
      <w:r w:rsidR="00316A88" w:rsidRPr="00676A90">
        <w:rPr>
          <w:rFonts w:asciiTheme="majorEastAsia" w:eastAsiaTheme="majorEastAsia" w:hAnsiTheme="majorEastAsia" w:hint="eastAsia"/>
          <w:lang w:eastAsia="zh-TW"/>
        </w:rPr>
        <w:t>次會議在</w:t>
      </w:r>
      <w:r w:rsidR="00B10CAC" w:rsidRPr="00676A90">
        <w:rPr>
          <w:rFonts w:asciiTheme="majorEastAsia" w:eastAsiaTheme="majorEastAsia" w:hAnsiTheme="majorEastAsia" w:hint="eastAsia"/>
          <w:lang w:eastAsia="zh-TW"/>
        </w:rPr>
        <w:t>201</w:t>
      </w:r>
      <w:r w:rsidR="00167EBC">
        <w:rPr>
          <w:rFonts w:asciiTheme="majorEastAsia" w:eastAsiaTheme="majorEastAsia" w:hAnsiTheme="majorEastAsia" w:hint="eastAsia"/>
          <w:lang w:eastAsia="zh-TW"/>
        </w:rPr>
        <w:t>9</w:t>
      </w:r>
      <w:r w:rsidR="00316A88" w:rsidRPr="00676A90">
        <w:rPr>
          <w:rFonts w:asciiTheme="majorEastAsia" w:eastAsiaTheme="majorEastAsia" w:hAnsiTheme="majorEastAsia" w:hint="eastAsia"/>
          <w:lang w:eastAsia="zh-TW"/>
        </w:rPr>
        <w:t>年</w:t>
      </w:r>
      <w:r w:rsidR="0077776A">
        <w:rPr>
          <w:rFonts w:asciiTheme="majorEastAsia" w:eastAsiaTheme="majorEastAsia" w:hAnsiTheme="majorEastAsia" w:hint="eastAsia"/>
          <w:lang w:eastAsia="zh-TW"/>
        </w:rPr>
        <w:t>3</w:t>
      </w:r>
      <w:r w:rsidR="00316A88" w:rsidRPr="00676A90">
        <w:rPr>
          <w:rFonts w:asciiTheme="majorEastAsia" w:eastAsiaTheme="majorEastAsia" w:hAnsiTheme="majorEastAsia" w:hint="eastAsia"/>
          <w:lang w:eastAsia="zh-TW"/>
        </w:rPr>
        <w:t>月</w:t>
      </w:r>
      <w:r w:rsidR="00B41CC8">
        <w:rPr>
          <w:rFonts w:asciiTheme="majorEastAsia" w:eastAsiaTheme="majorEastAsia" w:hAnsiTheme="majorEastAsia" w:hint="eastAsia"/>
          <w:lang w:eastAsia="zh-TW"/>
        </w:rPr>
        <w:t>2</w:t>
      </w:r>
      <w:r w:rsidR="00167EBC">
        <w:rPr>
          <w:rFonts w:asciiTheme="majorEastAsia" w:eastAsiaTheme="majorEastAsia" w:hAnsiTheme="majorEastAsia" w:hint="eastAsia"/>
          <w:lang w:eastAsia="zh-TW"/>
        </w:rPr>
        <w:t>5</w:t>
      </w:r>
      <w:r w:rsidR="00B10CAC" w:rsidRPr="00676A90">
        <w:rPr>
          <w:rFonts w:asciiTheme="majorEastAsia" w:eastAsiaTheme="majorEastAsia" w:hAnsiTheme="majorEastAsia" w:hint="eastAsia"/>
          <w:lang w:eastAsia="zh-TW"/>
        </w:rPr>
        <w:t>日1</w:t>
      </w:r>
      <w:r w:rsidR="00167EBC">
        <w:rPr>
          <w:rFonts w:asciiTheme="majorEastAsia" w:eastAsiaTheme="majorEastAsia" w:hAnsiTheme="majorEastAsia" w:hint="eastAsia"/>
          <w:lang w:eastAsia="zh-TW"/>
        </w:rPr>
        <w:t>6:3</w:t>
      </w:r>
      <w:r w:rsidR="00B10CAC" w:rsidRPr="00676A90">
        <w:rPr>
          <w:rFonts w:asciiTheme="majorEastAsia" w:eastAsiaTheme="majorEastAsia" w:hAnsiTheme="majorEastAsia" w:hint="eastAsia"/>
          <w:lang w:eastAsia="zh-TW"/>
        </w:rPr>
        <w:t>0-1</w:t>
      </w:r>
      <w:r w:rsidR="00B41CC8">
        <w:rPr>
          <w:rFonts w:asciiTheme="majorEastAsia" w:eastAsiaTheme="majorEastAsia" w:hAnsiTheme="majorEastAsia" w:hint="eastAsia"/>
          <w:lang w:eastAsia="zh-TW"/>
        </w:rPr>
        <w:t>7</w:t>
      </w:r>
      <w:r w:rsidR="00316A88" w:rsidRPr="00676A90">
        <w:rPr>
          <w:rFonts w:asciiTheme="majorEastAsia" w:eastAsiaTheme="majorEastAsia" w:hAnsiTheme="majorEastAsia" w:hint="eastAsia"/>
          <w:lang w:eastAsia="zh-TW"/>
        </w:rPr>
        <w:t>:</w:t>
      </w:r>
      <w:r w:rsidR="00167EBC">
        <w:rPr>
          <w:rFonts w:asciiTheme="majorEastAsia" w:eastAsiaTheme="majorEastAsia" w:hAnsiTheme="majorEastAsia" w:hint="eastAsia"/>
          <w:lang w:eastAsia="zh-TW"/>
        </w:rPr>
        <w:t>3</w:t>
      </w:r>
      <w:r w:rsidR="00316A88" w:rsidRPr="00676A90">
        <w:rPr>
          <w:rFonts w:asciiTheme="majorEastAsia" w:eastAsiaTheme="majorEastAsia" w:hAnsiTheme="majorEastAsia" w:hint="eastAsia"/>
          <w:lang w:eastAsia="zh-TW"/>
        </w:rPr>
        <w:t>0在</w:t>
      </w:r>
      <w:r w:rsidR="00B41CC8">
        <w:rPr>
          <w:rFonts w:ascii="新細明體" w:hAnsi="新細明體" w:cs="Arial" w:hint="eastAsia"/>
          <w:lang w:eastAsia="zh-HK"/>
        </w:rPr>
        <w:t>澳門大學伍宜孫圖書館</w:t>
      </w:r>
      <w:r w:rsidR="00316A88" w:rsidRPr="00676A90">
        <w:rPr>
          <w:rFonts w:asciiTheme="majorEastAsia" w:eastAsiaTheme="majorEastAsia" w:hAnsiTheme="majorEastAsia" w:hint="eastAsia"/>
          <w:lang w:eastAsia="zh-TW"/>
        </w:rPr>
        <w:t>進行</w:t>
      </w:r>
      <w:r w:rsidR="00167EBC" w:rsidRPr="00676A90">
        <w:rPr>
          <w:rFonts w:asciiTheme="majorEastAsia" w:eastAsiaTheme="majorEastAsia" w:hAnsiTheme="majorEastAsia"/>
          <w:lang w:eastAsia="zh-TW"/>
        </w:rPr>
        <w:t xml:space="preserve"> </w:t>
      </w:r>
      <w:r w:rsidR="00722388">
        <w:rPr>
          <w:rFonts w:asciiTheme="majorEastAsia" w:eastAsiaTheme="majorEastAsia" w:hAnsiTheme="majorEastAsia" w:hint="eastAsia"/>
          <w:lang w:eastAsia="zh-HK"/>
        </w:rPr>
        <w:t>，以及</w:t>
      </w:r>
      <w:r w:rsidR="00722388">
        <w:rPr>
          <w:rFonts w:asciiTheme="majorEastAsia" w:eastAsiaTheme="majorEastAsia" w:hAnsiTheme="majorEastAsia" w:hint="eastAsia"/>
          <w:lang w:eastAsia="zh-TW"/>
        </w:rPr>
        <w:t>2019</w:t>
      </w:r>
      <w:r w:rsidR="00722388">
        <w:rPr>
          <w:rFonts w:asciiTheme="majorEastAsia" w:eastAsiaTheme="majorEastAsia" w:hAnsiTheme="majorEastAsia" w:hint="eastAsia"/>
          <w:lang w:eastAsia="zh-HK"/>
        </w:rPr>
        <w:t>年</w:t>
      </w:r>
      <w:r w:rsidR="00722388">
        <w:rPr>
          <w:rFonts w:asciiTheme="majorEastAsia" w:eastAsiaTheme="majorEastAsia" w:hAnsiTheme="majorEastAsia" w:hint="eastAsia"/>
          <w:lang w:eastAsia="zh-TW"/>
        </w:rPr>
        <w:t>9</w:t>
      </w:r>
      <w:r w:rsidR="00722388">
        <w:rPr>
          <w:rFonts w:asciiTheme="majorEastAsia" w:eastAsiaTheme="majorEastAsia" w:hAnsiTheme="majorEastAsia" w:hint="eastAsia"/>
          <w:lang w:eastAsia="zh-HK"/>
        </w:rPr>
        <w:t>月</w:t>
      </w:r>
      <w:r w:rsidR="00722388">
        <w:rPr>
          <w:rFonts w:asciiTheme="majorEastAsia" w:eastAsiaTheme="majorEastAsia" w:hAnsiTheme="majorEastAsia" w:hint="eastAsia"/>
          <w:lang w:eastAsia="zh-TW"/>
        </w:rPr>
        <w:t>12</w:t>
      </w:r>
      <w:r w:rsidR="00722388">
        <w:rPr>
          <w:rFonts w:asciiTheme="majorEastAsia" w:eastAsiaTheme="majorEastAsia" w:hAnsiTheme="majorEastAsia" w:hint="eastAsia"/>
          <w:lang w:eastAsia="zh-HK"/>
        </w:rPr>
        <w:t>日</w:t>
      </w:r>
      <w:r w:rsidR="00722388">
        <w:rPr>
          <w:rFonts w:asciiTheme="majorEastAsia" w:eastAsiaTheme="majorEastAsia" w:hAnsiTheme="majorEastAsia" w:hint="eastAsia"/>
          <w:lang w:eastAsia="zh-TW"/>
        </w:rPr>
        <w:t>13:30-15:3</w:t>
      </w:r>
      <w:r w:rsidR="00722388" w:rsidRPr="00197734">
        <w:rPr>
          <w:rFonts w:asciiTheme="majorEastAsia" w:eastAsiaTheme="majorEastAsia" w:hAnsiTheme="majorEastAsia" w:hint="eastAsia"/>
          <w:lang w:eastAsia="zh-TW"/>
        </w:rPr>
        <w:t>0</w:t>
      </w:r>
      <w:r w:rsidR="00722388">
        <w:rPr>
          <w:rFonts w:asciiTheme="majorEastAsia" w:eastAsiaTheme="majorEastAsia" w:hAnsiTheme="majorEastAsia"/>
          <w:lang w:eastAsia="zh-TW"/>
        </w:rPr>
        <w:t xml:space="preserve"> </w:t>
      </w:r>
      <w:r w:rsidR="00722388">
        <w:rPr>
          <w:rFonts w:asciiTheme="majorEastAsia" w:eastAsiaTheme="majorEastAsia" w:hAnsiTheme="majorEastAsia" w:hint="eastAsia"/>
          <w:lang w:eastAsia="zh-HK"/>
        </w:rPr>
        <w:t>在</w:t>
      </w:r>
      <w:r w:rsidR="00722388" w:rsidRPr="00197734">
        <w:rPr>
          <w:rFonts w:asciiTheme="majorEastAsia" w:eastAsiaTheme="majorEastAsia" w:hAnsiTheme="majorEastAsia" w:hint="eastAsia"/>
          <w:lang w:eastAsia="zh-TW"/>
        </w:rPr>
        <w:t>澳門科技大學圖書館</w:t>
      </w:r>
      <w:r w:rsidR="00722388">
        <w:rPr>
          <w:rFonts w:asciiTheme="majorEastAsia" w:eastAsiaTheme="majorEastAsia" w:hAnsiTheme="majorEastAsia" w:hint="eastAsia"/>
          <w:lang w:eastAsia="zh-TW"/>
        </w:rPr>
        <w:t>N411</w:t>
      </w:r>
      <w:r w:rsidR="00722388">
        <w:rPr>
          <w:rFonts w:asciiTheme="majorEastAsia" w:eastAsiaTheme="majorEastAsia" w:hAnsiTheme="majorEastAsia"/>
          <w:lang w:eastAsia="zh-TW"/>
        </w:rPr>
        <w:t xml:space="preserve"> </w:t>
      </w:r>
      <w:r w:rsidR="00722388">
        <w:rPr>
          <w:rFonts w:asciiTheme="majorEastAsia" w:eastAsiaTheme="majorEastAsia" w:hAnsiTheme="majorEastAsia" w:hint="eastAsia"/>
          <w:lang w:eastAsia="zh-HK"/>
        </w:rPr>
        <w:t>進行。</w:t>
      </w:r>
    </w:p>
    <w:p w:rsidR="001C6AD0" w:rsidRPr="00676A90" w:rsidRDefault="001C6AD0" w:rsidP="006A2983">
      <w:pPr>
        <w:rPr>
          <w:rFonts w:asciiTheme="majorEastAsia" w:eastAsiaTheme="majorEastAsia" w:hAnsiTheme="majorEastAsia"/>
          <w:lang w:eastAsia="zh-TW"/>
        </w:rPr>
      </w:pPr>
    </w:p>
    <w:p w:rsidR="001C6AD0" w:rsidRPr="00676A90" w:rsidRDefault="00316A88"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聯盟工作項目</w:t>
      </w:r>
    </w:p>
    <w:p w:rsidR="00316A88" w:rsidRDefault="00316A88" w:rsidP="006A2983">
      <w:pPr>
        <w:rPr>
          <w:rFonts w:asciiTheme="majorEastAsia" w:eastAsiaTheme="majorEastAsia" w:hAnsiTheme="majorEastAsia"/>
          <w:lang w:eastAsia="zh-TW"/>
        </w:rPr>
      </w:pPr>
    </w:p>
    <w:p w:rsidR="00167EBC" w:rsidRPr="007B4190" w:rsidRDefault="00167EBC" w:rsidP="007B4190">
      <w:pPr>
        <w:pStyle w:val="a4"/>
        <w:numPr>
          <w:ilvl w:val="0"/>
          <w:numId w:val="15"/>
        </w:numPr>
        <w:ind w:leftChars="0" w:left="426" w:hanging="426"/>
        <w:rPr>
          <w:rFonts w:ascii="Arial" w:hAnsi="Arial" w:cs="Arial"/>
          <w:szCs w:val="21"/>
          <w:lang w:eastAsia="zh-TW"/>
        </w:rPr>
      </w:pPr>
      <w:r w:rsidRPr="007B4190">
        <w:rPr>
          <w:rFonts w:ascii="Arial" w:hAnsi="Arial" w:cs="Arial" w:hint="eastAsia"/>
          <w:b/>
          <w:bCs/>
          <w:lang w:eastAsia="zh-TW"/>
        </w:rPr>
        <w:t>澳門高校圖書館聯盟學術講座</w:t>
      </w:r>
    </w:p>
    <w:p w:rsidR="00167EBC" w:rsidRDefault="00167EBC" w:rsidP="00167EBC">
      <w:pPr>
        <w:rPr>
          <w:rFonts w:ascii="Calibri" w:hAnsi="Calibri" w:cs="Arial"/>
          <w:szCs w:val="21"/>
          <w:lang w:eastAsia="zh-TW"/>
        </w:rPr>
      </w:pPr>
      <w:r>
        <w:rPr>
          <w:rFonts w:ascii="Calibri" w:hAnsi="Calibri" w:cs="Arial" w:hint="eastAsia"/>
          <w:szCs w:val="21"/>
          <w:lang w:eastAsia="zh-TW"/>
        </w:rPr>
        <w:t>主題</w:t>
      </w:r>
      <w:r>
        <w:rPr>
          <w:rFonts w:ascii="Calibri" w:hAnsi="Calibri" w:cs="Arial"/>
          <w:szCs w:val="21"/>
          <w:lang w:eastAsia="zh-TW"/>
        </w:rPr>
        <w:t xml:space="preserve">: </w:t>
      </w:r>
      <w:r>
        <w:rPr>
          <w:rFonts w:ascii="Calibri" w:hAnsi="Calibri" w:cs="Arial" w:hint="eastAsia"/>
          <w:szCs w:val="21"/>
          <w:lang w:eastAsia="zh-TW"/>
        </w:rPr>
        <w:t>澳門大學圖書館博雅講座</w:t>
      </w:r>
      <w:r>
        <w:rPr>
          <w:rFonts w:ascii="Calibri" w:hAnsi="Calibri" w:cs="Arial"/>
          <w:szCs w:val="21"/>
          <w:lang w:eastAsia="zh-TW"/>
        </w:rPr>
        <w:t xml:space="preserve"> </w:t>
      </w:r>
      <w:r>
        <w:rPr>
          <w:rFonts w:ascii="Calibri" w:hAnsi="Calibri" w:cs="Arial" w:hint="eastAsia"/>
          <w:szCs w:val="21"/>
          <w:lang w:eastAsia="zh-TW"/>
        </w:rPr>
        <w:t>「</w:t>
      </w:r>
      <w:r>
        <w:rPr>
          <w:rFonts w:ascii="Arial" w:hAnsi="Arial" w:cs="Arial" w:hint="eastAsia"/>
          <w:lang w:eastAsia="zh-TW"/>
        </w:rPr>
        <w:t>閱讀和寫作」</w:t>
      </w:r>
    </w:p>
    <w:p w:rsidR="00167EBC" w:rsidRDefault="00167EBC" w:rsidP="00167EBC">
      <w:pPr>
        <w:rPr>
          <w:rFonts w:ascii="Calibri" w:hAnsi="Calibri" w:cs="Arial"/>
          <w:lang w:eastAsia="zh-TW"/>
        </w:rPr>
      </w:pPr>
      <w:r>
        <w:rPr>
          <w:rFonts w:ascii="Calibri" w:hAnsi="Calibri" w:cs="Arial" w:hint="eastAsia"/>
          <w:szCs w:val="21"/>
          <w:lang w:eastAsia="zh-TW"/>
        </w:rPr>
        <w:t>主講嘉賓</w:t>
      </w:r>
      <w:r>
        <w:rPr>
          <w:rFonts w:ascii="Calibri" w:hAnsi="Calibri" w:cs="Arial"/>
          <w:szCs w:val="21"/>
          <w:lang w:eastAsia="zh-TW"/>
        </w:rPr>
        <w:t xml:space="preserve">: </w:t>
      </w:r>
      <w:r>
        <w:rPr>
          <w:rFonts w:ascii="Calibri" w:hAnsi="Calibri" w:cs="Arial" w:hint="eastAsia"/>
          <w:szCs w:val="21"/>
          <w:lang w:eastAsia="zh-HK"/>
        </w:rPr>
        <w:t>王安憶</w:t>
      </w:r>
      <w:r>
        <w:rPr>
          <w:rFonts w:ascii="Calibri" w:hAnsi="Calibri" w:cs="Arial" w:hint="eastAsia"/>
          <w:szCs w:val="21"/>
          <w:lang w:eastAsia="zh-TW"/>
        </w:rPr>
        <w:t>教授</w:t>
      </w:r>
    </w:p>
    <w:p w:rsidR="00167EBC" w:rsidRDefault="00167EBC" w:rsidP="00167EBC">
      <w:pPr>
        <w:rPr>
          <w:rFonts w:ascii="Calibri" w:hAnsi="Calibri" w:cs="Arial"/>
          <w:szCs w:val="21"/>
          <w:lang w:eastAsia="zh-TW"/>
        </w:rPr>
      </w:pPr>
      <w:r>
        <w:rPr>
          <w:rFonts w:ascii="Calibri" w:hAnsi="Calibri" w:cs="Arial" w:hint="eastAsia"/>
          <w:szCs w:val="21"/>
          <w:lang w:eastAsia="zh-TW"/>
        </w:rPr>
        <w:t>日期</w:t>
      </w:r>
      <w:r>
        <w:rPr>
          <w:rFonts w:ascii="Calibri" w:hAnsi="Calibri" w:cs="Arial"/>
          <w:szCs w:val="21"/>
          <w:lang w:eastAsia="zh-TW"/>
        </w:rPr>
        <w:t>: 2019</w:t>
      </w:r>
      <w:r>
        <w:rPr>
          <w:rFonts w:ascii="Calibri" w:hAnsi="Calibri" w:cs="Arial" w:hint="eastAsia"/>
          <w:szCs w:val="21"/>
          <w:lang w:eastAsia="zh-TW"/>
        </w:rPr>
        <w:t>年</w:t>
      </w:r>
      <w:r>
        <w:rPr>
          <w:rFonts w:ascii="Calibri" w:hAnsi="Calibri" w:cs="Arial"/>
          <w:szCs w:val="21"/>
          <w:lang w:eastAsia="zh-TW"/>
        </w:rPr>
        <w:t>3</w:t>
      </w:r>
      <w:r>
        <w:rPr>
          <w:rFonts w:ascii="Calibri" w:hAnsi="Calibri" w:cs="Arial" w:hint="eastAsia"/>
          <w:szCs w:val="21"/>
          <w:lang w:eastAsia="zh-TW"/>
        </w:rPr>
        <w:t>月</w:t>
      </w:r>
      <w:r>
        <w:rPr>
          <w:rFonts w:ascii="Calibri" w:hAnsi="Calibri" w:cs="Arial"/>
          <w:szCs w:val="21"/>
          <w:lang w:eastAsia="zh-TW"/>
        </w:rPr>
        <w:t>25</w:t>
      </w:r>
      <w:r>
        <w:rPr>
          <w:rFonts w:ascii="Calibri" w:hAnsi="Calibri" w:cs="Arial" w:hint="eastAsia"/>
          <w:szCs w:val="21"/>
          <w:lang w:eastAsia="zh-TW"/>
        </w:rPr>
        <w:t>日</w:t>
      </w:r>
      <w:r>
        <w:rPr>
          <w:rFonts w:ascii="Calibri" w:hAnsi="Calibri" w:cs="Arial"/>
          <w:szCs w:val="21"/>
          <w:lang w:eastAsia="zh-TW"/>
        </w:rPr>
        <w:t xml:space="preserve"> (</w:t>
      </w:r>
      <w:r>
        <w:rPr>
          <w:rFonts w:ascii="Calibri" w:hAnsi="Calibri" w:cs="Arial" w:hint="eastAsia"/>
          <w:szCs w:val="21"/>
          <w:lang w:eastAsia="zh-TW"/>
        </w:rPr>
        <w:t>星期一</w:t>
      </w:r>
      <w:r>
        <w:rPr>
          <w:rFonts w:ascii="Calibri" w:hAnsi="Calibri" w:cs="Arial"/>
          <w:szCs w:val="21"/>
          <w:lang w:eastAsia="zh-TW"/>
        </w:rPr>
        <w:t xml:space="preserve">) </w:t>
      </w:r>
    </w:p>
    <w:p w:rsidR="00167EBC" w:rsidRDefault="00167EBC" w:rsidP="00167EBC">
      <w:pPr>
        <w:rPr>
          <w:rFonts w:ascii="Calibri" w:hAnsi="Calibri" w:cs="Arial"/>
          <w:szCs w:val="21"/>
          <w:lang w:eastAsia="zh-TW"/>
        </w:rPr>
      </w:pPr>
      <w:r>
        <w:rPr>
          <w:rFonts w:ascii="Calibri" w:hAnsi="Calibri" w:cs="Arial" w:hint="eastAsia"/>
          <w:szCs w:val="21"/>
          <w:lang w:eastAsia="zh-TW"/>
        </w:rPr>
        <w:t>時間</w:t>
      </w:r>
      <w:r>
        <w:rPr>
          <w:rFonts w:ascii="Calibri" w:hAnsi="Calibri" w:cs="Arial"/>
          <w:szCs w:val="21"/>
          <w:lang w:eastAsia="zh-TW"/>
        </w:rPr>
        <w:t>: 15:30 – 16:30</w:t>
      </w:r>
    </w:p>
    <w:p w:rsidR="00167EBC" w:rsidRDefault="00167EBC" w:rsidP="00167EBC">
      <w:pPr>
        <w:rPr>
          <w:rFonts w:ascii="Calibri" w:hAnsi="Calibri" w:cs="Arial"/>
          <w:szCs w:val="21"/>
          <w:lang w:eastAsia="zh-TW"/>
        </w:rPr>
      </w:pPr>
      <w:r>
        <w:rPr>
          <w:rFonts w:ascii="Calibri" w:hAnsi="Calibri" w:cs="Arial" w:hint="eastAsia"/>
          <w:szCs w:val="21"/>
          <w:lang w:eastAsia="zh-TW"/>
        </w:rPr>
        <w:t>地點</w:t>
      </w:r>
      <w:r>
        <w:rPr>
          <w:rFonts w:ascii="Calibri" w:hAnsi="Calibri" w:cs="Arial"/>
          <w:szCs w:val="21"/>
          <w:lang w:eastAsia="zh-TW"/>
        </w:rPr>
        <w:t xml:space="preserve">: </w:t>
      </w:r>
      <w:r>
        <w:rPr>
          <w:rFonts w:ascii="Calibri" w:hAnsi="Calibri" w:cs="Arial" w:hint="eastAsia"/>
          <w:szCs w:val="21"/>
          <w:lang w:eastAsia="zh-TW"/>
        </w:rPr>
        <w:t>澳門大學圖書館演講廳</w:t>
      </w:r>
    </w:p>
    <w:p w:rsidR="00167EBC" w:rsidRDefault="00167EBC" w:rsidP="006A2983">
      <w:pPr>
        <w:rPr>
          <w:rFonts w:asciiTheme="majorEastAsia" w:eastAsiaTheme="majorEastAsia" w:hAnsiTheme="majorEastAsia"/>
          <w:lang w:eastAsia="zh-TW"/>
        </w:rPr>
      </w:pPr>
    </w:p>
    <w:p w:rsidR="007B4190" w:rsidRPr="00B90259" w:rsidRDefault="007B4190" w:rsidP="007B4190">
      <w:pPr>
        <w:pStyle w:val="a4"/>
        <w:numPr>
          <w:ilvl w:val="0"/>
          <w:numId w:val="13"/>
        </w:numPr>
        <w:shd w:val="clear" w:color="auto" w:fill="FFFFFF"/>
        <w:ind w:leftChars="0"/>
        <w:rPr>
          <w:rFonts w:ascii="新細明體" w:hAnsi="新細明體" w:cs="Arial"/>
          <w:b/>
          <w:lang w:eastAsia="zh-HK"/>
        </w:rPr>
      </w:pPr>
      <w:r w:rsidRPr="00B90259">
        <w:rPr>
          <w:rFonts w:ascii="新細明體" w:hAnsi="新細明體" w:cs="Arial" w:hint="eastAsia"/>
          <w:b/>
          <w:lang w:eastAsia="zh-HK"/>
        </w:rPr>
        <w:t>申請</w:t>
      </w:r>
      <w:r>
        <w:rPr>
          <w:rFonts w:ascii="新細明體" w:hAnsi="新細明體" w:cs="Arial" w:hint="eastAsia"/>
          <w:b/>
          <w:lang w:eastAsia="zh-HK"/>
        </w:rPr>
        <w:t>201</w:t>
      </w:r>
      <w:r>
        <w:rPr>
          <w:rFonts w:ascii="新細明體" w:hAnsi="新細明體" w:cs="Arial" w:hint="eastAsia"/>
          <w:b/>
          <w:lang w:eastAsia="zh-TW"/>
        </w:rPr>
        <w:t>9</w:t>
      </w:r>
      <w:r w:rsidRPr="00B90259">
        <w:rPr>
          <w:rFonts w:ascii="新細明體" w:hAnsi="新細明體" w:cs="Arial" w:hint="eastAsia"/>
          <w:b/>
          <w:lang w:eastAsia="zh-HK"/>
        </w:rPr>
        <w:t>年IFLA參會及考察資助</w:t>
      </w:r>
    </w:p>
    <w:p w:rsidR="007B4190" w:rsidRPr="0077776A" w:rsidRDefault="007B4190" w:rsidP="007B4190">
      <w:pPr>
        <w:shd w:val="clear" w:color="auto" w:fill="FFFFFF"/>
        <w:rPr>
          <w:rFonts w:ascii="新細明體" w:hAnsi="新細明體" w:cs="Arial"/>
          <w:lang w:eastAsia="zh-TW"/>
        </w:rPr>
      </w:pPr>
      <w:r w:rsidRPr="0077776A">
        <w:rPr>
          <w:rFonts w:ascii="新細明體" w:hAnsi="新細明體" w:cs="Arial" w:hint="eastAsia"/>
          <w:lang w:eastAsia="zh-TW"/>
        </w:rPr>
        <w:t>第</w:t>
      </w:r>
      <w:r>
        <w:rPr>
          <w:rFonts w:ascii="新細明體" w:hAnsi="新細明體" w:cs="Arial" w:hint="eastAsia"/>
          <w:lang w:eastAsia="zh-TW"/>
        </w:rPr>
        <w:t>85</w:t>
      </w:r>
      <w:r w:rsidRPr="0077776A">
        <w:rPr>
          <w:rFonts w:ascii="新細明體" w:hAnsi="新細明體" w:cs="Arial" w:hint="eastAsia"/>
          <w:lang w:eastAsia="zh-TW"/>
        </w:rPr>
        <w:t>屆國際圖書館協會聯盟年會，相關資訊如下：</w:t>
      </w:r>
    </w:p>
    <w:p w:rsidR="007B4190" w:rsidRPr="0077776A" w:rsidRDefault="007B4190" w:rsidP="007B4190">
      <w:pPr>
        <w:shd w:val="clear" w:color="auto" w:fill="FFFFFF"/>
        <w:rPr>
          <w:rFonts w:ascii="新細明體" w:hAnsi="新細明體" w:cs="Arial"/>
          <w:lang w:eastAsia="zh-TW"/>
        </w:rPr>
      </w:pPr>
      <w:r w:rsidRPr="0077776A">
        <w:rPr>
          <w:rFonts w:ascii="新細明體" w:hAnsi="新細明體" w:cs="Arial" w:hint="eastAsia"/>
          <w:lang w:eastAsia="zh-TW"/>
        </w:rPr>
        <w:t>日期：</w:t>
      </w:r>
      <w:r>
        <w:rPr>
          <w:rFonts w:asciiTheme="majorEastAsia" w:eastAsiaTheme="majorEastAsia" w:hAnsiTheme="majorEastAsia" w:hint="eastAsia"/>
          <w:lang w:eastAsia="zh-TW"/>
        </w:rPr>
        <w:t>2019</w:t>
      </w:r>
      <w:r>
        <w:rPr>
          <w:rFonts w:asciiTheme="majorEastAsia" w:eastAsiaTheme="majorEastAsia" w:hAnsiTheme="majorEastAsia" w:hint="eastAsia"/>
          <w:lang w:eastAsia="zh-HK"/>
        </w:rPr>
        <w:t>年</w:t>
      </w:r>
      <w:r w:rsidR="00B2231E" w:rsidRPr="00B2231E">
        <w:rPr>
          <w:rFonts w:asciiTheme="majorEastAsia" w:eastAsiaTheme="majorEastAsia" w:hAnsiTheme="majorEastAsia" w:hint="eastAsia"/>
          <w:lang w:eastAsia="zh-TW"/>
        </w:rPr>
        <w:t>8月24日至30日</w:t>
      </w:r>
    </w:p>
    <w:p w:rsidR="007B4190" w:rsidRPr="0077776A" w:rsidRDefault="007B4190" w:rsidP="007B4190">
      <w:pPr>
        <w:shd w:val="clear" w:color="auto" w:fill="FFFFFF"/>
        <w:rPr>
          <w:rFonts w:ascii="新細明體" w:hAnsi="新細明體" w:cs="Arial"/>
          <w:lang w:eastAsia="zh-TW"/>
        </w:rPr>
      </w:pPr>
      <w:r w:rsidRPr="0077776A">
        <w:rPr>
          <w:rFonts w:ascii="新細明體" w:hAnsi="新細明體" w:cs="Arial" w:hint="eastAsia"/>
          <w:lang w:eastAsia="zh-TW"/>
        </w:rPr>
        <w:t>地點：</w:t>
      </w:r>
      <w:r w:rsidRPr="00722388">
        <w:rPr>
          <w:rFonts w:ascii="新細明體" w:hAnsi="新細明體" w:cs="Arial" w:hint="eastAsia"/>
          <w:lang w:eastAsia="zh-TW"/>
        </w:rPr>
        <w:t>希臘雅典</w:t>
      </w:r>
    </w:p>
    <w:p w:rsidR="007B4190" w:rsidRPr="0077776A" w:rsidRDefault="007B4190" w:rsidP="007B4190">
      <w:pPr>
        <w:shd w:val="clear" w:color="auto" w:fill="FFFFFF"/>
        <w:rPr>
          <w:rFonts w:ascii="新細明體" w:hAnsi="新細明體" w:cs="Arial"/>
          <w:lang w:eastAsia="zh-TW"/>
        </w:rPr>
      </w:pPr>
      <w:r w:rsidRPr="0077776A">
        <w:rPr>
          <w:rFonts w:ascii="新細明體" w:hAnsi="新細明體" w:cs="Arial" w:hint="eastAsia"/>
          <w:lang w:eastAsia="zh-TW"/>
        </w:rPr>
        <w:t>主題：轉變圖書館，轉變社會</w:t>
      </w:r>
    </w:p>
    <w:p w:rsidR="007B4190" w:rsidRPr="00B2231E" w:rsidRDefault="007B4190" w:rsidP="007B4190">
      <w:pPr>
        <w:shd w:val="clear" w:color="auto" w:fill="FFFFFF"/>
        <w:rPr>
          <w:rFonts w:ascii="新細明體" w:hAnsi="新細明體" w:cs="Arial"/>
          <w:lang w:eastAsia="zh-TW"/>
        </w:rPr>
      </w:pPr>
      <w:r>
        <w:rPr>
          <w:rFonts w:ascii="新細明體" w:hAnsi="新細明體" w:cs="Arial" w:hint="eastAsia"/>
          <w:lang w:eastAsia="zh-TW"/>
        </w:rPr>
        <w:t>高</w:t>
      </w:r>
      <w:r>
        <w:rPr>
          <w:rFonts w:ascii="新細明體" w:hAnsi="新細明體" w:cs="Arial" w:hint="eastAsia"/>
          <w:lang w:eastAsia="zh-HK"/>
        </w:rPr>
        <w:t>等教</w:t>
      </w:r>
      <w:r>
        <w:rPr>
          <w:rFonts w:ascii="新細明體" w:hAnsi="新細明體" w:cs="Arial" w:hint="eastAsia"/>
          <w:lang w:eastAsia="zh-TW"/>
        </w:rPr>
        <w:t>育</w:t>
      </w:r>
      <w:r>
        <w:rPr>
          <w:rFonts w:ascii="新細明體" w:hAnsi="新細明體" w:cs="Arial" w:hint="eastAsia"/>
          <w:lang w:eastAsia="zh-HK"/>
        </w:rPr>
        <w:t>發</w:t>
      </w:r>
      <w:r>
        <w:rPr>
          <w:rFonts w:ascii="新細明體" w:hAnsi="新細明體" w:cs="Arial" w:hint="eastAsia"/>
          <w:lang w:eastAsia="zh-TW"/>
        </w:rPr>
        <w:t>展</w:t>
      </w:r>
      <w:r>
        <w:rPr>
          <w:rFonts w:ascii="新細明體" w:hAnsi="新細明體" w:cs="Arial" w:hint="eastAsia"/>
          <w:lang w:eastAsia="zh-HK"/>
        </w:rPr>
        <w:t>基金</w:t>
      </w:r>
      <w:r>
        <w:rPr>
          <w:rFonts w:ascii="新細明體" w:hAnsi="新細明體" w:cs="Arial" w:hint="eastAsia"/>
          <w:lang w:eastAsia="zh-TW"/>
        </w:rPr>
        <w:t>最後批准資助</w:t>
      </w:r>
      <w:r>
        <w:rPr>
          <w:rFonts w:ascii="新細明體" w:hAnsi="新細明體" w:cs="Arial" w:hint="eastAsia"/>
          <w:lang w:eastAsia="zh-HK"/>
        </w:rPr>
        <w:t>上限</w:t>
      </w:r>
      <w:r>
        <w:rPr>
          <w:rFonts w:ascii="新細明體" w:hAnsi="新細明體" w:cs="Arial" w:hint="eastAsia"/>
          <w:lang w:eastAsia="zh-TW"/>
        </w:rPr>
        <w:t>為MOP192,600</w:t>
      </w:r>
      <w:r>
        <w:rPr>
          <w:rFonts w:ascii="新細明體" w:hAnsi="新細明體" w:cs="Arial"/>
          <w:lang w:eastAsia="zh-TW"/>
        </w:rPr>
        <w:t xml:space="preserve"> </w:t>
      </w:r>
      <w:r>
        <w:rPr>
          <w:rFonts w:ascii="新細明體" w:hAnsi="新細明體" w:cs="Arial" w:hint="eastAsia"/>
          <w:lang w:eastAsia="zh-TW"/>
        </w:rPr>
        <w:t>(18名代表)</w:t>
      </w:r>
      <w:r w:rsidR="00B2231E">
        <w:rPr>
          <w:rFonts w:ascii="新細明體" w:hAnsi="新細明體" w:cs="Arial"/>
          <w:lang w:eastAsia="zh-TW"/>
        </w:rPr>
        <w:t xml:space="preserve"> </w:t>
      </w:r>
    </w:p>
    <w:p w:rsidR="00722388" w:rsidRDefault="00722388" w:rsidP="006A2983">
      <w:pPr>
        <w:rPr>
          <w:rFonts w:asciiTheme="majorEastAsia" w:eastAsiaTheme="majorEastAsia" w:hAnsiTheme="majorEastAsia"/>
          <w:lang w:eastAsia="zh-TW"/>
        </w:rPr>
      </w:pPr>
    </w:p>
    <w:p w:rsidR="007B4190" w:rsidRPr="00B90259" w:rsidRDefault="007B4190" w:rsidP="007B4190">
      <w:pPr>
        <w:pStyle w:val="a4"/>
        <w:numPr>
          <w:ilvl w:val="0"/>
          <w:numId w:val="12"/>
        </w:numPr>
        <w:shd w:val="clear" w:color="auto" w:fill="FFFFFF"/>
        <w:ind w:leftChars="0"/>
        <w:rPr>
          <w:rFonts w:ascii="新細明體" w:hAnsi="新細明體" w:cs="Arial"/>
          <w:b/>
          <w:lang w:eastAsia="zh-TW"/>
        </w:rPr>
      </w:pPr>
      <w:r w:rsidRPr="00B90259">
        <w:rPr>
          <w:rFonts w:ascii="新細明體" w:hAnsi="新細明體" w:cs="Arial" w:hint="eastAsia"/>
          <w:b/>
          <w:lang w:eastAsia="zh-TW"/>
        </w:rPr>
        <w:t>資料庫採購工作會議內容匯報</w:t>
      </w:r>
    </w:p>
    <w:p w:rsidR="007B4190" w:rsidRDefault="007B4190" w:rsidP="007B4190">
      <w:pPr>
        <w:rPr>
          <w:rFonts w:ascii="新細明體" w:hAnsi="新細明體" w:cs="Arial"/>
          <w:lang w:eastAsia="zh-TW"/>
        </w:rPr>
      </w:pPr>
      <w:r w:rsidRPr="007636BE">
        <w:rPr>
          <w:rFonts w:ascii="新細明體" w:hAnsi="新細明體" w:cs="Arial" w:hint="eastAsia"/>
          <w:lang w:eastAsia="zh-TW"/>
        </w:rPr>
        <w:t>會議</w:t>
      </w:r>
      <w:r w:rsidRPr="007C0E1F">
        <w:rPr>
          <w:rFonts w:ascii="新細明體" w:hAnsi="新細明體" w:cs="Arial" w:hint="eastAsia"/>
          <w:lang w:eastAsia="zh-TW"/>
        </w:rPr>
        <w:t>日期</w:t>
      </w:r>
      <w:r w:rsidRPr="007636BE">
        <w:rPr>
          <w:rFonts w:ascii="新細明體" w:hAnsi="新細明體" w:cs="Arial" w:hint="eastAsia"/>
          <w:lang w:eastAsia="zh-TW"/>
        </w:rPr>
        <w:t>：</w:t>
      </w:r>
      <w:r>
        <w:rPr>
          <w:rFonts w:ascii="新細明體" w:hAnsi="新細明體" w:cs="Arial" w:hint="eastAsia"/>
          <w:lang w:eastAsia="zh-TW"/>
        </w:rPr>
        <w:t>2019</w:t>
      </w:r>
      <w:r w:rsidRPr="007636BE">
        <w:rPr>
          <w:rFonts w:ascii="新細明體" w:hAnsi="新細明體" w:cs="Arial" w:hint="eastAsia"/>
          <w:lang w:eastAsia="zh-TW"/>
        </w:rPr>
        <w:t>年</w:t>
      </w:r>
      <w:r w:rsidR="00B2231E">
        <w:rPr>
          <w:rFonts w:ascii="新細明體" w:hAnsi="新細明體" w:cs="Arial" w:hint="eastAsia"/>
          <w:lang w:eastAsia="zh-TW"/>
        </w:rPr>
        <w:t>9</w:t>
      </w:r>
      <w:r w:rsidRPr="007636BE">
        <w:rPr>
          <w:rFonts w:ascii="新細明體" w:hAnsi="新細明體" w:cs="Arial" w:hint="eastAsia"/>
          <w:lang w:eastAsia="zh-TW"/>
        </w:rPr>
        <w:t>月</w:t>
      </w:r>
      <w:r w:rsidR="00B2231E">
        <w:rPr>
          <w:rFonts w:ascii="新細明體" w:hAnsi="新細明體" w:cs="Arial" w:hint="eastAsia"/>
          <w:lang w:eastAsia="zh-TW"/>
        </w:rPr>
        <w:t>12</w:t>
      </w:r>
      <w:r w:rsidRPr="007636BE">
        <w:rPr>
          <w:rFonts w:ascii="新細明體" w:hAnsi="新細明體" w:cs="Arial" w:hint="eastAsia"/>
          <w:lang w:eastAsia="zh-TW"/>
        </w:rPr>
        <w:t>日</w:t>
      </w:r>
      <w:r>
        <w:rPr>
          <w:rFonts w:ascii="新細明體" w:hAnsi="新細明體" w:cs="Arial" w:hint="eastAsia"/>
          <w:lang w:eastAsia="zh-TW"/>
        </w:rPr>
        <w:t xml:space="preserve"> </w:t>
      </w:r>
      <w:r w:rsidRPr="007C0E1F">
        <w:rPr>
          <w:rFonts w:ascii="新細明體" w:hAnsi="新細明體" w:cs="Arial" w:hint="eastAsia"/>
          <w:lang w:eastAsia="zh-TW"/>
        </w:rPr>
        <w:t>會議時間 :</w:t>
      </w:r>
      <w:r w:rsidR="00B2231E">
        <w:rPr>
          <w:rFonts w:asciiTheme="majorEastAsia" w:eastAsiaTheme="majorEastAsia" w:hAnsiTheme="majorEastAsia" w:hint="eastAsia"/>
          <w:lang w:eastAsia="zh-TW"/>
        </w:rPr>
        <w:t xml:space="preserve"> 13:30-15:3</w:t>
      </w:r>
      <w:r w:rsidR="00B2231E" w:rsidRPr="00197734">
        <w:rPr>
          <w:rFonts w:asciiTheme="majorEastAsia" w:eastAsiaTheme="majorEastAsia" w:hAnsiTheme="majorEastAsia" w:hint="eastAsia"/>
          <w:lang w:eastAsia="zh-TW"/>
        </w:rPr>
        <w:t>0</w:t>
      </w:r>
    </w:p>
    <w:p w:rsidR="007B4190" w:rsidRDefault="007B4190" w:rsidP="007B4190">
      <w:pPr>
        <w:rPr>
          <w:rFonts w:ascii="新細明體" w:hAnsi="新細明體" w:cs="Arial"/>
          <w:lang w:eastAsia="zh-TW"/>
        </w:rPr>
      </w:pPr>
      <w:r w:rsidRPr="007636BE">
        <w:rPr>
          <w:rFonts w:ascii="新細明體" w:hAnsi="新細明體" w:cs="Arial" w:hint="eastAsia"/>
          <w:lang w:eastAsia="zh-TW"/>
        </w:rPr>
        <w:t>會議地點：澳門科技大學圖書館</w:t>
      </w:r>
    </w:p>
    <w:p w:rsidR="00B2231E" w:rsidRDefault="00B2231E" w:rsidP="007B4190">
      <w:pPr>
        <w:rPr>
          <w:rFonts w:asciiTheme="majorEastAsia" w:eastAsiaTheme="majorEastAsia" w:hAnsiTheme="majorEastAsia"/>
          <w:lang w:eastAsia="zh-TW"/>
        </w:rPr>
      </w:pPr>
      <w:r w:rsidRPr="00310C63">
        <w:rPr>
          <w:rFonts w:asciiTheme="majorEastAsia" w:eastAsiaTheme="majorEastAsia" w:hAnsiTheme="majorEastAsia" w:hint="eastAsia"/>
          <w:lang w:eastAsia="zh-TW"/>
        </w:rPr>
        <w:t>聯盟代主席趙洗塵</w:t>
      </w:r>
      <w:r>
        <w:rPr>
          <w:rFonts w:asciiTheme="majorEastAsia" w:eastAsiaTheme="majorEastAsia" w:hAnsiTheme="majorEastAsia" w:hint="eastAsia"/>
          <w:lang w:eastAsia="zh-TW"/>
        </w:rPr>
        <w:t>為會議作主持，她</w:t>
      </w:r>
      <w:r w:rsidRPr="00310C63">
        <w:rPr>
          <w:rFonts w:asciiTheme="majorEastAsia" w:eastAsiaTheme="majorEastAsia" w:hAnsiTheme="majorEastAsia" w:hint="eastAsia"/>
          <w:lang w:eastAsia="zh-TW"/>
        </w:rPr>
        <w:t>簡述了聯盟</w:t>
      </w:r>
      <w:r>
        <w:rPr>
          <w:rFonts w:asciiTheme="majorEastAsia" w:eastAsiaTheme="majorEastAsia" w:hAnsiTheme="majorEastAsia" w:hint="eastAsia"/>
          <w:lang w:eastAsia="zh-TW"/>
        </w:rPr>
        <w:t>是次</w:t>
      </w:r>
      <w:r w:rsidRPr="00310C63">
        <w:rPr>
          <w:rFonts w:asciiTheme="majorEastAsia" w:eastAsiaTheme="majorEastAsia" w:hAnsiTheme="majorEastAsia" w:hint="eastAsia"/>
          <w:lang w:eastAsia="zh-TW"/>
        </w:rPr>
        <w:t>採購的內容</w:t>
      </w:r>
      <w:r>
        <w:rPr>
          <w:rFonts w:asciiTheme="majorEastAsia" w:eastAsiaTheme="majorEastAsia" w:hAnsiTheme="majorEastAsia" w:hint="eastAsia"/>
          <w:lang w:eastAsia="zh-TW"/>
        </w:rPr>
        <w:t>主要是分成三個部分，包括科研工具﹑專利數據庫及引文數據庫。由於現在的高校圖書館應該不只是有傳統的借閱服務，而是</w:t>
      </w:r>
      <w:r w:rsidRPr="00094B54">
        <w:rPr>
          <w:rFonts w:asciiTheme="majorEastAsia" w:eastAsiaTheme="majorEastAsia" w:hAnsiTheme="majorEastAsia" w:hint="eastAsia"/>
          <w:lang w:eastAsia="zh-TW"/>
        </w:rPr>
        <w:t>提供</w:t>
      </w:r>
      <w:r>
        <w:rPr>
          <w:rFonts w:asciiTheme="majorEastAsia" w:eastAsiaTheme="majorEastAsia" w:hAnsiTheme="majorEastAsia" w:hint="eastAsia"/>
          <w:lang w:eastAsia="zh-TW"/>
        </w:rPr>
        <w:t>更多信息服務和內容，協助高校領導及科研人員從多種角度</w:t>
      </w:r>
      <w:r w:rsidRPr="00094B54">
        <w:rPr>
          <w:rFonts w:asciiTheme="majorEastAsia" w:eastAsiaTheme="majorEastAsia" w:hAnsiTheme="majorEastAsia" w:hint="eastAsia"/>
          <w:lang w:eastAsia="zh-TW"/>
        </w:rPr>
        <w:t>深度了解和挖掘</w:t>
      </w:r>
      <w:r>
        <w:rPr>
          <w:rFonts w:asciiTheme="majorEastAsia" w:eastAsiaTheme="majorEastAsia" w:hAnsiTheme="majorEastAsia" w:hint="eastAsia"/>
          <w:lang w:eastAsia="zh-TW"/>
        </w:rPr>
        <w:t>數據</w:t>
      </w:r>
      <w:r w:rsidRPr="00094B54">
        <w:rPr>
          <w:rFonts w:asciiTheme="majorEastAsia" w:eastAsiaTheme="majorEastAsia" w:hAnsiTheme="majorEastAsia" w:hint="eastAsia"/>
          <w:lang w:eastAsia="zh-TW"/>
        </w:rPr>
        <w:t>，更好地提供數據、信息、分析、決策支持之類的服務。</w:t>
      </w:r>
      <w:r>
        <w:rPr>
          <w:rFonts w:asciiTheme="majorEastAsia" w:eastAsiaTheme="majorEastAsia" w:hAnsiTheme="majorEastAsia" w:hint="eastAsia"/>
          <w:lang w:eastAsia="zh-TW"/>
        </w:rPr>
        <w:t>是次</w:t>
      </w:r>
      <w:r w:rsidRPr="00310C63">
        <w:rPr>
          <w:rFonts w:asciiTheme="majorEastAsia" w:eastAsiaTheme="majorEastAsia" w:hAnsiTheme="majorEastAsia" w:hint="eastAsia"/>
          <w:lang w:eastAsia="zh-TW"/>
        </w:rPr>
        <w:t>採購</w:t>
      </w:r>
      <w:r>
        <w:rPr>
          <w:rFonts w:asciiTheme="majorEastAsia" w:eastAsiaTheme="majorEastAsia" w:hAnsiTheme="majorEastAsia" w:hint="eastAsia"/>
          <w:lang w:eastAsia="zh-TW"/>
        </w:rPr>
        <w:t>是一個很好的機會，讓聯盟成員館都可以使用這些工具為學校服務。</w:t>
      </w:r>
    </w:p>
    <w:p w:rsidR="00B2231E" w:rsidRDefault="00B2231E" w:rsidP="007B4190">
      <w:pPr>
        <w:shd w:val="clear" w:color="auto" w:fill="FFFFFF"/>
        <w:rPr>
          <w:rFonts w:ascii="新細明體" w:hAnsi="新細明體" w:cs="Arial"/>
          <w:lang w:eastAsia="zh-HK"/>
        </w:rPr>
      </w:pPr>
    </w:p>
    <w:p w:rsidR="00B2231E" w:rsidRDefault="00B2231E" w:rsidP="007B4190">
      <w:pPr>
        <w:shd w:val="clear" w:color="auto" w:fill="FFFFFF"/>
        <w:rPr>
          <w:rFonts w:ascii="新細明體" w:hAnsi="新細明體" w:cs="Arial"/>
          <w:lang w:eastAsia="zh-HK"/>
        </w:rPr>
      </w:pPr>
      <w:r w:rsidRPr="00B2231E">
        <w:rPr>
          <w:rFonts w:ascii="新細明體" w:hAnsi="新細明體" w:cs="Arial" w:hint="eastAsia"/>
          <w:lang w:eastAsia="zh-HK"/>
        </w:rPr>
        <w:lastRenderedPageBreak/>
        <w:t>議決內容</w:t>
      </w:r>
      <w:r>
        <w:rPr>
          <w:rFonts w:ascii="新細明體" w:hAnsi="新細明體" w:cs="Arial"/>
          <w:lang w:eastAsia="zh-HK"/>
        </w:rPr>
        <w:t xml:space="preserve">: </w:t>
      </w:r>
    </w:p>
    <w:p w:rsidR="007B4190" w:rsidRDefault="00B2231E" w:rsidP="007B4190">
      <w:pPr>
        <w:shd w:val="clear" w:color="auto" w:fill="FFFFFF"/>
        <w:rPr>
          <w:rFonts w:ascii="新細明體" w:hAnsi="新細明體" w:cs="Arial"/>
          <w:lang w:eastAsia="zh-HK"/>
        </w:rPr>
      </w:pPr>
      <w:r>
        <w:rPr>
          <w:rFonts w:ascii="新細明體" w:hAnsi="新細明體" w:cs="Arial"/>
          <w:lang w:eastAsia="zh-HK"/>
        </w:rPr>
        <w:t xml:space="preserve">1. </w:t>
      </w:r>
      <w:r w:rsidRPr="00B2231E">
        <w:rPr>
          <w:rFonts w:ascii="新細明體" w:hAnsi="新細明體" w:cs="Arial" w:hint="eastAsia"/>
          <w:lang w:eastAsia="zh-HK"/>
        </w:rPr>
        <w:t>採購科研工具以這兩個產品Incites及SciVal 為比較</w:t>
      </w:r>
      <w:r w:rsidR="007B4190" w:rsidRPr="008F7119">
        <w:rPr>
          <w:rFonts w:ascii="新細明體" w:hAnsi="新細明體" w:cs="Arial" w:hint="eastAsia"/>
          <w:lang w:eastAsia="zh-HK"/>
        </w:rPr>
        <w:t>。</w:t>
      </w:r>
    </w:p>
    <w:p w:rsidR="00B2231E" w:rsidRPr="00B2231E" w:rsidRDefault="00B2231E" w:rsidP="007B4190">
      <w:pPr>
        <w:shd w:val="clear" w:color="auto" w:fill="FFFFFF"/>
        <w:rPr>
          <w:rFonts w:ascii="新細明體" w:hAnsi="新細明體" w:cs="Arial"/>
          <w:lang w:eastAsia="zh-HK"/>
        </w:rPr>
      </w:pPr>
      <w:r>
        <w:rPr>
          <w:rFonts w:ascii="新細明體" w:hAnsi="新細明體" w:cs="Arial" w:hint="eastAsia"/>
          <w:lang w:eastAsia="zh-HK"/>
        </w:rPr>
        <w:t xml:space="preserve">2. </w:t>
      </w:r>
      <w:r>
        <w:rPr>
          <w:rFonts w:asciiTheme="majorEastAsia" w:eastAsiaTheme="majorEastAsia" w:hAnsiTheme="majorEastAsia" w:hint="eastAsia"/>
        </w:rPr>
        <w:t>採購專利資料庫以這兩個產品</w:t>
      </w:r>
      <w:r>
        <w:rPr>
          <w:b/>
          <w:bCs/>
          <w:sz w:val="28"/>
          <w:szCs w:val="28"/>
        </w:rPr>
        <w:t>Innography</w:t>
      </w:r>
      <w:r>
        <w:rPr>
          <w:rFonts w:asciiTheme="majorEastAsia" w:eastAsiaTheme="majorEastAsia" w:hAnsiTheme="majorEastAsia" w:hint="eastAsia"/>
        </w:rPr>
        <w:t xml:space="preserve">及 </w:t>
      </w:r>
      <w:r w:rsidRPr="002B57FE">
        <w:rPr>
          <w:rFonts w:asciiTheme="majorEastAsia" w:eastAsiaTheme="majorEastAsia" w:hAnsiTheme="majorEastAsia"/>
        </w:rPr>
        <w:t>Derwent Innovations Index</w:t>
      </w:r>
      <w:r>
        <w:rPr>
          <w:rFonts w:asciiTheme="majorEastAsia" w:eastAsiaTheme="majorEastAsia" w:hAnsiTheme="majorEastAsia"/>
        </w:rPr>
        <w:t>(DII)</w:t>
      </w:r>
      <w:r w:rsidRPr="00C67B5F">
        <w:rPr>
          <w:rFonts w:asciiTheme="majorEastAsia" w:eastAsiaTheme="majorEastAsia" w:hAnsiTheme="majorEastAsia" w:hint="eastAsia"/>
        </w:rPr>
        <w:t xml:space="preserve"> </w:t>
      </w:r>
      <w:r>
        <w:rPr>
          <w:rFonts w:asciiTheme="majorEastAsia" w:eastAsiaTheme="majorEastAsia" w:hAnsiTheme="majorEastAsia" w:hint="eastAsia"/>
        </w:rPr>
        <w:t>為比較</w:t>
      </w:r>
    </w:p>
    <w:p w:rsidR="00B2231E" w:rsidRDefault="00B2231E" w:rsidP="007B4190">
      <w:pPr>
        <w:shd w:val="clear" w:color="auto" w:fill="FFFFFF"/>
        <w:rPr>
          <w:rFonts w:asciiTheme="majorEastAsia" w:eastAsiaTheme="majorEastAsia" w:hAnsiTheme="majorEastAsia"/>
        </w:rPr>
      </w:pPr>
      <w:r>
        <w:rPr>
          <w:rFonts w:asciiTheme="majorEastAsia" w:eastAsiaTheme="majorEastAsia" w:hAnsiTheme="majorEastAsia" w:hint="eastAsia"/>
        </w:rPr>
        <w:t>3. 採購引文資料庫以這兩個產品</w:t>
      </w:r>
      <w:r w:rsidRPr="00C67B5F">
        <w:rPr>
          <w:rFonts w:asciiTheme="majorEastAsia" w:eastAsiaTheme="majorEastAsia" w:hAnsiTheme="majorEastAsia" w:hint="eastAsia"/>
        </w:rPr>
        <w:t>Web of Science</w:t>
      </w:r>
      <w:r>
        <w:rPr>
          <w:rFonts w:asciiTheme="majorEastAsia" w:eastAsiaTheme="majorEastAsia" w:hAnsiTheme="majorEastAsia" w:hint="eastAsia"/>
        </w:rPr>
        <w:t>及</w:t>
      </w:r>
      <w:r w:rsidRPr="00C67B5F">
        <w:rPr>
          <w:rFonts w:asciiTheme="majorEastAsia" w:eastAsiaTheme="majorEastAsia" w:hAnsiTheme="majorEastAsia" w:hint="eastAsia"/>
        </w:rPr>
        <w:t>SCOPUS</w:t>
      </w:r>
      <w:r>
        <w:rPr>
          <w:rFonts w:asciiTheme="majorEastAsia" w:eastAsiaTheme="majorEastAsia" w:hAnsiTheme="majorEastAsia" w:hint="eastAsia"/>
        </w:rPr>
        <w:t>為比較</w:t>
      </w:r>
    </w:p>
    <w:p w:rsidR="00B2231E" w:rsidRDefault="00B2231E" w:rsidP="00B2231E">
      <w:r>
        <w:rPr>
          <w:rFonts w:ascii="新細明體" w:hAnsi="新細明體" w:cs="Arial"/>
          <w:lang w:eastAsia="zh-HK"/>
        </w:rPr>
        <w:t xml:space="preserve">4. </w:t>
      </w:r>
      <w:r>
        <w:rPr>
          <w:rFonts w:asciiTheme="majorEastAsia" w:eastAsiaTheme="majorEastAsia" w:hAnsiTheme="majorEastAsia" w:hint="eastAsia"/>
        </w:rPr>
        <w:t>工作分配方面，有以下安排︰</w:t>
      </w:r>
    </w:p>
    <w:p w:rsidR="00B2231E" w:rsidRDefault="00B2231E" w:rsidP="00B2231E">
      <w:pPr>
        <w:rPr>
          <w:rFonts w:asciiTheme="majorEastAsia" w:eastAsiaTheme="majorEastAsia" w:hAnsiTheme="majorEastAsia"/>
          <w:lang w:eastAsia="zh-TW"/>
        </w:rPr>
      </w:pPr>
      <w:r>
        <w:rPr>
          <w:rFonts w:asciiTheme="majorEastAsia" w:eastAsiaTheme="majorEastAsia" w:hAnsiTheme="majorEastAsia" w:hint="eastAsia"/>
        </w:rPr>
        <w:t xml:space="preserve">    </w:t>
      </w:r>
      <w:r>
        <w:rPr>
          <w:rFonts w:asciiTheme="majorEastAsia" w:eastAsiaTheme="majorEastAsia" w:hAnsiTheme="majorEastAsia" w:hint="eastAsia"/>
          <w:lang w:eastAsia="zh-TW"/>
        </w:rPr>
        <w:t>1. 找供應商開通試用及報價，由澳大圖書館負責。</w:t>
      </w:r>
    </w:p>
    <w:p w:rsidR="00B2231E" w:rsidRPr="00993184" w:rsidRDefault="00B2231E" w:rsidP="00B2231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2. 採購小組討論評分標準及計算分數，由聯盟秘書處協調。</w:t>
      </w:r>
    </w:p>
    <w:p w:rsidR="00B2231E" w:rsidRDefault="00B2231E" w:rsidP="00B2231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3. 報告撰寫及申請資助，由科大圖書館負責。</w:t>
      </w:r>
    </w:p>
    <w:p w:rsidR="00B2231E" w:rsidRDefault="00B2231E" w:rsidP="00B2231E">
      <w:pPr>
        <w:rPr>
          <w:rFonts w:asciiTheme="majorEastAsia" w:eastAsiaTheme="majorEastAsia" w:hAnsiTheme="majorEastAsia"/>
          <w:lang w:eastAsia="zh-HK"/>
        </w:rPr>
      </w:pPr>
      <w:r>
        <w:rPr>
          <w:rFonts w:asciiTheme="majorEastAsia" w:eastAsiaTheme="majorEastAsia" w:hAnsiTheme="majorEastAsia"/>
          <w:lang w:eastAsia="zh-TW"/>
        </w:rPr>
        <w:t xml:space="preserve">    </w:t>
      </w:r>
      <w:r>
        <w:rPr>
          <w:rFonts w:asciiTheme="majorEastAsia" w:eastAsiaTheme="majorEastAsia" w:hAnsiTheme="majorEastAsia" w:hint="eastAsia"/>
          <w:lang w:eastAsia="zh-TW"/>
        </w:rPr>
        <w:t>4.</w:t>
      </w:r>
      <w:r>
        <w:rPr>
          <w:rFonts w:asciiTheme="majorEastAsia" w:eastAsiaTheme="majorEastAsia" w:hAnsiTheme="majorEastAsia"/>
          <w:lang w:eastAsia="zh-TW"/>
        </w:rPr>
        <w:t xml:space="preserve"> </w:t>
      </w:r>
      <w:r>
        <w:rPr>
          <w:rFonts w:asciiTheme="majorEastAsia" w:eastAsiaTheme="majorEastAsia" w:hAnsiTheme="majorEastAsia" w:hint="eastAsia"/>
          <w:lang w:eastAsia="zh-HK"/>
        </w:rPr>
        <w:t xml:space="preserve">提交資助是以研究工具 </w:t>
      </w:r>
      <w:r>
        <w:rPr>
          <w:rFonts w:asciiTheme="majorEastAsia" w:eastAsiaTheme="majorEastAsia" w:hAnsiTheme="majorEastAsia" w:hint="eastAsia"/>
          <w:lang w:eastAsia="zh-TW"/>
        </w:rPr>
        <w:t>+</w:t>
      </w:r>
      <w:r>
        <w:rPr>
          <w:rFonts w:asciiTheme="majorEastAsia" w:eastAsiaTheme="majorEastAsia" w:hAnsiTheme="majorEastAsia"/>
          <w:lang w:eastAsia="zh-HK"/>
        </w:rPr>
        <w:t xml:space="preserve"> </w:t>
      </w:r>
      <w:r>
        <w:rPr>
          <w:rFonts w:asciiTheme="majorEastAsia" w:eastAsiaTheme="majorEastAsia" w:hAnsiTheme="majorEastAsia" w:hint="eastAsia"/>
          <w:lang w:eastAsia="zh-HK"/>
        </w:rPr>
        <w:t>專利工具為優先</w:t>
      </w:r>
      <w:r w:rsidRPr="00B60FD0">
        <w:rPr>
          <w:rFonts w:asciiTheme="majorEastAsia" w:eastAsiaTheme="majorEastAsia" w:hAnsiTheme="majorEastAsia" w:hint="eastAsia"/>
          <w:lang w:eastAsia="zh-HK"/>
        </w:rPr>
        <w:t>，</w:t>
      </w:r>
      <w:r>
        <w:rPr>
          <w:rFonts w:asciiTheme="majorEastAsia" w:eastAsiaTheme="majorEastAsia" w:hAnsiTheme="majorEastAsia" w:hint="eastAsia"/>
          <w:lang w:eastAsia="zh-HK"/>
        </w:rPr>
        <w:t>次為引文庫</w:t>
      </w:r>
      <w:r w:rsidRPr="00B60FD0">
        <w:rPr>
          <w:rFonts w:asciiTheme="majorEastAsia" w:eastAsiaTheme="majorEastAsia" w:hAnsiTheme="majorEastAsia" w:hint="eastAsia"/>
          <w:lang w:eastAsia="zh-HK"/>
        </w:rPr>
        <w:t>。</w:t>
      </w:r>
    </w:p>
    <w:p w:rsidR="007B4190" w:rsidRDefault="007B4190" w:rsidP="006A2983">
      <w:pPr>
        <w:rPr>
          <w:rFonts w:asciiTheme="majorEastAsia" w:eastAsiaTheme="majorEastAsia" w:hAnsiTheme="majorEastAsia"/>
          <w:lang w:eastAsia="zh-TW"/>
        </w:rPr>
      </w:pPr>
    </w:p>
    <w:p w:rsidR="00722388" w:rsidRDefault="00722388" w:rsidP="006A2983">
      <w:pPr>
        <w:rPr>
          <w:rFonts w:asciiTheme="majorEastAsia" w:eastAsiaTheme="majorEastAsia" w:hAnsiTheme="majorEastAsia"/>
        </w:rPr>
      </w:pPr>
      <w:r>
        <w:rPr>
          <w:rFonts w:asciiTheme="majorEastAsia" w:eastAsiaTheme="majorEastAsia" w:hAnsiTheme="majorEastAsia" w:hint="eastAsia"/>
        </w:rPr>
        <w:t>聯盟在</w:t>
      </w:r>
      <w:r w:rsidRPr="00310C63">
        <w:rPr>
          <w:rFonts w:asciiTheme="majorEastAsia" w:eastAsiaTheme="majorEastAsia" w:hAnsiTheme="majorEastAsia" w:hint="eastAsia"/>
        </w:rPr>
        <w:t>2019年9月11日上午邀請兩間公司Clarivate及 Elsevier，介紹Incites及SciVal 科研分析工具</w:t>
      </w:r>
      <w:r>
        <w:rPr>
          <w:rFonts w:asciiTheme="majorEastAsia" w:eastAsiaTheme="majorEastAsia" w:hAnsiTheme="majorEastAsia" w:hint="eastAsia"/>
        </w:rPr>
        <w:t>。</w:t>
      </w:r>
    </w:p>
    <w:p w:rsidR="00722388" w:rsidRPr="00310C63" w:rsidRDefault="00722388" w:rsidP="00722388">
      <w:pPr>
        <w:rPr>
          <w:rFonts w:asciiTheme="majorEastAsia" w:eastAsiaTheme="majorEastAsia" w:hAnsiTheme="majorEastAsia"/>
          <w:lang w:eastAsia="zh-TW"/>
        </w:rPr>
      </w:pPr>
      <w:r w:rsidRPr="00310C63">
        <w:rPr>
          <w:rFonts w:asciiTheme="majorEastAsia" w:eastAsiaTheme="majorEastAsia" w:hAnsiTheme="majorEastAsia"/>
          <w:lang w:eastAsia="zh-TW"/>
        </w:rPr>
        <w:t xml:space="preserve">InCites </w:t>
      </w:r>
      <w:r w:rsidRPr="00310C63">
        <w:rPr>
          <w:rFonts w:asciiTheme="majorEastAsia" w:eastAsiaTheme="majorEastAsia" w:hAnsiTheme="majorEastAsia" w:hint="eastAsia"/>
          <w:lang w:eastAsia="zh-TW"/>
        </w:rPr>
        <w:t>是湯森路透科技集團在彙集和分析</w:t>
      </w:r>
      <w:r w:rsidRPr="00310C63">
        <w:rPr>
          <w:rFonts w:asciiTheme="majorEastAsia" w:eastAsiaTheme="majorEastAsia" w:hAnsiTheme="majorEastAsia"/>
          <w:lang w:eastAsia="zh-TW"/>
        </w:rPr>
        <w:t>Web of Science (SCIE/SSCI)</w:t>
      </w:r>
      <w:r w:rsidRPr="00310C63">
        <w:rPr>
          <w:rFonts w:asciiTheme="majorEastAsia" w:eastAsiaTheme="majorEastAsia" w:hAnsiTheme="majorEastAsia" w:hint="eastAsia"/>
          <w:lang w:eastAsia="zh-TW"/>
        </w:rPr>
        <w:t>權威引文資料的基礎上建立起來的科研評價工具，綜合各種計量指標和</w:t>
      </w:r>
      <w:r w:rsidRPr="00310C63">
        <w:rPr>
          <w:rFonts w:asciiTheme="majorEastAsia" w:eastAsiaTheme="majorEastAsia" w:hAnsiTheme="majorEastAsia"/>
          <w:lang w:eastAsia="zh-TW"/>
        </w:rPr>
        <w:t>30</w:t>
      </w:r>
      <w:r w:rsidRPr="00310C63">
        <w:rPr>
          <w:rFonts w:asciiTheme="majorEastAsia" w:eastAsiaTheme="majorEastAsia" w:hAnsiTheme="majorEastAsia" w:hint="eastAsia"/>
          <w:lang w:eastAsia="zh-TW"/>
        </w:rPr>
        <w:t>年來各學科各年度的國際標杆資料。通過</w:t>
      </w:r>
      <w:r w:rsidRPr="00310C63">
        <w:rPr>
          <w:rFonts w:asciiTheme="majorEastAsia" w:eastAsiaTheme="majorEastAsia" w:hAnsiTheme="majorEastAsia"/>
          <w:lang w:eastAsia="zh-TW"/>
        </w:rPr>
        <w:t>InCites</w:t>
      </w:r>
      <w:r w:rsidRPr="00310C63">
        <w:rPr>
          <w:rFonts w:asciiTheme="majorEastAsia" w:eastAsiaTheme="majorEastAsia" w:hAnsiTheme="majorEastAsia" w:hint="eastAsia"/>
          <w:lang w:eastAsia="zh-TW"/>
        </w:rPr>
        <w:t>，用戶能夠即時跟蹤機構的研究產出和影響力；將本機構的研究績效與其他機構以及全球和學科領域的平均水準進行對比；發掘機構內具有學術影響力和發展潛力的研究人員，並監測機構的科研合作活動，以尋求潛在的科研合作機會。</w:t>
      </w:r>
      <w:r w:rsidRPr="00310C63">
        <w:rPr>
          <w:rFonts w:asciiTheme="majorEastAsia" w:eastAsiaTheme="majorEastAsia" w:hAnsiTheme="majorEastAsia"/>
          <w:lang w:eastAsia="zh-TW"/>
        </w:rPr>
        <w:t>InCites</w:t>
      </w:r>
      <w:r w:rsidRPr="00310C63">
        <w:rPr>
          <w:rFonts w:asciiTheme="majorEastAsia" w:eastAsiaTheme="majorEastAsia" w:hAnsiTheme="majorEastAsia" w:hint="eastAsia"/>
          <w:lang w:eastAsia="zh-TW"/>
        </w:rPr>
        <w:t>能夠幫助政府和學術研究機構中的決策者、科研管理人員分析本機構的學術表現和影響力，並針對全球同行的研究成果進行比較。</w:t>
      </w:r>
    </w:p>
    <w:p w:rsidR="007C0E1F" w:rsidRPr="0023350C" w:rsidRDefault="00722388" w:rsidP="0023350C">
      <w:pPr>
        <w:rPr>
          <w:rFonts w:asciiTheme="majorEastAsia" w:eastAsiaTheme="majorEastAsia" w:hAnsiTheme="majorEastAsia"/>
          <w:lang w:eastAsia="zh-TW"/>
        </w:rPr>
      </w:pPr>
      <w:r>
        <w:rPr>
          <w:rFonts w:asciiTheme="majorEastAsia" w:eastAsiaTheme="majorEastAsia" w:hAnsiTheme="majorEastAsia"/>
          <w:lang w:eastAsia="zh-TW"/>
        </w:rPr>
        <w:t xml:space="preserve"> </w:t>
      </w:r>
      <w:r>
        <w:rPr>
          <w:rFonts w:asciiTheme="majorEastAsia" w:eastAsiaTheme="majorEastAsia" w:hAnsiTheme="majorEastAsia" w:hint="eastAsia"/>
          <w:lang w:eastAsia="zh-TW"/>
        </w:rPr>
        <w:t>Elsevier</w:t>
      </w:r>
      <w:r w:rsidRPr="00310C63">
        <w:rPr>
          <w:rFonts w:asciiTheme="majorEastAsia" w:eastAsiaTheme="majorEastAsia" w:hAnsiTheme="majorEastAsia" w:hint="eastAsia"/>
          <w:lang w:eastAsia="zh-TW"/>
        </w:rPr>
        <w:t>新一代</w:t>
      </w:r>
      <w:r w:rsidRPr="00310C63">
        <w:rPr>
          <w:rFonts w:asciiTheme="majorEastAsia" w:eastAsiaTheme="majorEastAsia" w:hAnsiTheme="majorEastAsia"/>
          <w:lang w:eastAsia="zh-TW"/>
        </w:rPr>
        <w:t>SciVal</w:t>
      </w:r>
      <w:r w:rsidRPr="00310C63">
        <w:rPr>
          <w:rFonts w:asciiTheme="majorEastAsia" w:eastAsiaTheme="majorEastAsia" w:hAnsiTheme="majorEastAsia" w:hint="eastAsia"/>
          <w:lang w:eastAsia="zh-TW"/>
        </w:rPr>
        <w:t>是一套高效易用的科研管理工具和全球前沿研究發現平臺，該平臺包含全球</w:t>
      </w:r>
      <w:r w:rsidRPr="00310C63">
        <w:rPr>
          <w:rFonts w:asciiTheme="majorEastAsia" w:eastAsiaTheme="majorEastAsia" w:hAnsiTheme="majorEastAsia"/>
          <w:lang w:eastAsia="zh-TW"/>
        </w:rPr>
        <w:t>220</w:t>
      </w:r>
      <w:r w:rsidRPr="00310C63">
        <w:rPr>
          <w:rFonts w:asciiTheme="majorEastAsia" w:eastAsiaTheme="majorEastAsia" w:hAnsiTheme="majorEastAsia" w:hint="eastAsia"/>
          <w:lang w:eastAsia="zh-TW"/>
        </w:rPr>
        <w:t>餘個國家超過</w:t>
      </w:r>
      <w:r w:rsidRPr="00310C63">
        <w:rPr>
          <w:rFonts w:asciiTheme="majorEastAsia" w:eastAsiaTheme="majorEastAsia" w:hAnsiTheme="majorEastAsia"/>
          <w:lang w:eastAsia="zh-TW"/>
        </w:rPr>
        <w:t>8500</w:t>
      </w:r>
      <w:r w:rsidRPr="00310C63">
        <w:rPr>
          <w:rFonts w:asciiTheme="majorEastAsia" w:eastAsiaTheme="majorEastAsia" w:hAnsiTheme="majorEastAsia" w:hint="eastAsia"/>
          <w:lang w:eastAsia="zh-TW"/>
        </w:rPr>
        <w:t>家大學及科研機構的資料，全面支援科研績效分析，學科前沿發現與分析，院校之間的橫向比較，國際排名（</w:t>
      </w:r>
      <w:r w:rsidRPr="00310C63">
        <w:rPr>
          <w:rFonts w:asciiTheme="majorEastAsia" w:eastAsiaTheme="majorEastAsia" w:hAnsiTheme="majorEastAsia"/>
          <w:lang w:eastAsia="zh-TW"/>
        </w:rPr>
        <w:t>THE</w:t>
      </w:r>
      <w:r w:rsidRPr="00310C63">
        <w:rPr>
          <w:rFonts w:asciiTheme="majorEastAsia" w:eastAsiaTheme="majorEastAsia" w:hAnsiTheme="majorEastAsia" w:hint="eastAsia"/>
          <w:lang w:eastAsia="zh-TW"/>
        </w:rPr>
        <w:t>、</w:t>
      </w:r>
      <w:r w:rsidRPr="00310C63">
        <w:rPr>
          <w:rFonts w:asciiTheme="majorEastAsia" w:eastAsiaTheme="majorEastAsia" w:hAnsiTheme="majorEastAsia"/>
          <w:lang w:eastAsia="zh-TW"/>
        </w:rPr>
        <w:t>QS</w:t>
      </w:r>
      <w:r w:rsidRPr="00310C63">
        <w:rPr>
          <w:rFonts w:asciiTheme="majorEastAsia" w:eastAsiaTheme="majorEastAsia" w:hAnsiTheme="majorEastAsia" w:hint="eastAsia"/>
          <w:lang w:eastAsia="zh-TW"/>
        </w:rPr>
        <w:t>等）客觀資料部分分析以及拓展國際合作。該平臺將科研資料，資訊技術，衡量指標及高度視覺化整合至一起，為科研決策提供循證依據——利用全球最大的文獻摘要與科研資訊引用資料庫</w:t>
      </w:r>
      <w:r w:rsidRPr="00310C63">
        <w:rPr>
          <w:rFonts w:asciiTheme="majorEastAsia" w:eastAsiaTheme="majorEastAsia" w:hAnsiTheme="majorEastAsia"/>
          <w:lang w:eastAsia="zh-TW"/>
        </w:rPr>
        <w:t>Scopus</w:t>
      </w:r>
      <w:r w:rsidRPr="00310C63">
        <w:rPr>
          <w:rFonts w:asciiTheme="majorEastAsia" w:eastAsiaTheme="majorEastAsia" w:hAnsiTheme="majorEastAsia" w:hint="eastAsia"/>
          <w:lang w:eastAsia="zh-TW"/>
        </w:rPr>
        <w:t>作為基礎，</w:t>
      </w:r>
      <w:r w:rsidRPr="00310C63">
        <w:rPr>
          <w:rFonts w:asciiTheme="majorEastAsia" w:eastAsiaTheme="majorEastAsia" w:hAnsiTheme="majorEastAsia"/>
          <w:lang w:eastAsia="zh-TW"/>
        </w:rPr>
        <w:t>SciVal</w:t>
      </w:r>
      <w:r w:rsidRPr="00310C63">
        <w:rPr>
          <w:rFonts w:asciiTheme="majorEastAsia" w:eastAsiaTheme="majorEastAsia" w:hAnsiTheme="majorEastAsia" w:hint="eastAsia"/>
          <w:lang w:eastAsia="zh-TW"/>
        </w:rPr>
        <w:t>提供了靈活的操作方式，多種自訂設置及資訊的匯出格式，以滿足不同用戶的需求和偏好。</w:t>
      </w:r>
    </w:p>
    <w:p w:rsidR="007C0E1F" w:rsidRDefault="007C0E1F" w:rsidP="007C0E1F">
      <w:pPr>
        <w:shd w:val="clear" w:color="auto" w:fill="FFFFFF"/>
        <w:rPr>
          <w:rFonts w:ascii="新細明體" w:hAnsi="新細明體" w:cs="Arial"/>
          <w:lang w:eastAsia="zh-HK"/>
        </w:rPr>
      </w:pPr>
    </w:p>
    <w:p w:rsidR="00B90259" w:rsidRDefault="007C0E1F" w:rsidP="007C0E1F">
      <w:pPr>
        <w:shd w:val="clear" w:color="auto" w:fill="FFFFFF"/>
        <w:rPr>
          <w:rFonts w:ascii="新細明體" w:hAnsi="新細明體" w:cs="Arial"/>
          <w:lang w:eastAsia="zh-TW"/>
        </w:rPr>
      </w:pPr>
      <w:r w:rsidRPr="007C0E1F">
        <w:rPr>
          <w:rFonts w:ascii="新細明體" w:hAnsi="新細明體" w:cs="Arial" w:hint="eastAsia"/>
          <w:lang w:eastAsia="zh-TW"/>
        </w:rPr>
        <w:t xml:space="preserve">會議日期：2018年9月18 日  會議時間 : 下午16:00-17:30 </w:t>
      </w:r>
    </w:p>
    <w:p w:rsidR="007C0E1F" w:rsidRDefault="007C0E1F" w:rsidP="007C0E1F">
      <w:pPr>
        <w:shd w:val="clear" w:color="auto" w:fill="FFFFFF"/>
        <w:rPr>
          <w:rFonts w:ascii="新細明體" w:hAnsi="新細明體" w:cs="Arial"/>
          <w:lang w:eastAsia="zh-TW"/>
        </w:rPr>
      </w:pPr>
      <w:r w:rsidRPr="007C0E1F">
        <w:rPr>
          <w:rFonts w:ascii="新細明體" w:hAnsi="新細明體" w:cs="Arial" w:hint="eastAsia"/>
          <w:lang w:eastAsia="zh-TW"/>
        </w:rPr>
        <w:t xml:space="preserve">會議地點：澳門大學圖書館 </w:t>
      </w:r>
    </w:p>
    <w:p w:rsidR="007C0E1F" w:rsidRPr="007C0E1F" w:rsidRDefault="00B90259" w:rsidP="007C0E1F">
      <w:pPr>
        <w:shd w:val="clear" w:color="auto" w:fill="FFFFFF"/>
        <w:rPr>
          <w:rFonts w:ascii="新細明體" w:hAnsi="新細明體" w:cs="Arial"/>
          <w:lang w:eastAsia="zh-TW"/>
        </w:rPr>
      </w:pPr>
      <w:r>
        <w:rPr>
          <w:rFonts w:ascii="新細明體" w:hAnsi="新細明體" w:cs="Arial" w:hint="eastAsia"/>
          <w:lang w:eastAsia="zh-TW"/>
        </w:rPr>
        <w:t>討論</w:t>
      </w:r>
      <w:r w:rsidR="007C0E1F" w:rsidRPr="007C0E1F">
        <w:rPr>
          <w:rFonts w:ascii="新細明體" w:hAnsi="新細明體" w:cs="Arial" w:hint="eastAsia"/>
          <w:lang w:eastAsia="zh-TW"/>
        </w:rPr>
        <w:t>ProQuest今年給MALA是一個共享模式的報價，大概一個電子書的書價的兩至三倍的價格，就可給予MALA 8家共享的模式，這個模式對MALA是較好的。選書的問題: 五館分配金額選書(澳科大、聖大、城大、理工、旅院)， 採購工作小組再與各館決議書單</w:t>
      </w:r>
    </w:p>
    <w:p w:rsidR="0077776A" w:rsidRDefault="0077776A" w:rsidP="006A2983">
      <w:pPr>
        <w:rPr>
          <w:rFonts w:asciiTheme="majorEastAsia" w:eastAsiaTheme="majorEastAsia" w:hAnsiTheme="majorEastAsia"/>
          <w:lang w:eastAsia="zh-TW"/>
        </w:rPr>
      </w:pPr>
    </w:p>
    <w:p w:rsidR="00E8714B" w:rsidRDefault="00B407C1" w:rsidP="006A2983">
      <w:pPr>
        <w:rPr>
          <w:rFonts w:asciiTheme="majorEastAsia" w:eastAsiaTheme="majorEastAsia" w:hAnsiTheme="majorEastAsia"/>
          <w:lang w:eastAsia="zh-TW"/>
        </w:rPr>
      </w:pPr>
      <w:r>
        <w:rPr>
          <w:rFonts w:asciiTheme="majorEastAsia" w:eastAsiaTheme="majorEastAsia" w:hAnsiTheme="majorEastAsia" w:hint="eastAsia"/>
          <w:lang w:eastAsia="zh-TW"/>
        </w:rPr>
        <w:lastRenderedPageBreak/>
        <w:t>2019</w:t>
      </w:r>
      <w:r>
        <w:rPr>
          <w:rFonts w:asciiTheme="majorEastAsia" w:eastAsiaTheme="majorEastAsia" w:hAnsiTheme="majorEastAsia" w:hint="eastAsia"/>
          <w:lang w:eastAsia="zh-HK"/>
        </w:rPr>
        <w:t>年</w:t>
      </w:r>
      <w:r w:rsidRPr="00B407C1">
        <w:rPr>
          <w:rFonts w:asciiTheme="majorEastAsia" w:eastAsiaTheme="majorEastAsia" w:hAnsiTheme="majorEastAsia"/>
          <w:lang w:eastAsia="zh-TW"/>
        </w:rPr>
        <w:t>4</w:t>
      </w:r>
      <w:r w:rsidRPr="00B407C1">
        <w:rPr>
          <w:rFonts w:asciiTheme="majorEastAsia" w:eastAsiaTheme="majorEastAsia" w:hAnsiTheme="majorEastAsia" w:hint="eastAsia"/>
          <w:lang w:eastAsia="zh-TW"/>
        </w:rPr>
        <w:t>月</w:t>
      </w:r>
      <w:r w:rsidRPr="00B407C1">
        <w:rPr>
          <w:rFonts w:asciiTheme="majorEastAsia" w:eastAsiaTheme="majorEastAsia" w:hAnsiTheme="majorEastAsia"/>
          <w:lang w:eastAsia="zh-TW"/>
        </w:rPr>
        <w:t>23</w:t>
      </w:r>
      <w:r w:rsidRPr="00B407C1">
        <w:rPr>
          <w:rFonts w:asciiTheme="majorEastAsia" w:eastAsiaTheme="majorEastAsia" w:hAnsiTheme="majorEastAsia" w:hint="eastAsia"/>
          <w:lang w:eastAsia="zh-TW"/>
        </w:rPr>
        <w:t>日為</w:t>
      </w:r>
      <w:r w:rsidRPr="00B407C1">
        <w:rPr>
          <w:rFonts w:asciiTheme="majorEastAsia" w:eastAsiaTheme="majorEastAsia" w:hAnsiTheme="majorEastAsia"/>
          <w:lang w:eastAsia="zh-TW"/>
        </w:rPr>
        <w:t>“</w:t>
      </w:r>
      <w:r w:rsidRPr="00B407C1">
        <w:rPr>
          <w:rFonts w:asciiTheme="majorEastAsia" w:eastAsiaTheme="majorEastAsia" w:hAnsiTheme="majorEastAsia" w:hint="eastAsia"/>
          <w:lang w:eastAsia="zh-TW"/>
        </w:rPr>
        <w:t>世界閱讀日</w:t>
      </w:r>
      <w:r w:rsidRPr="00B407C1">
        <w:rPr>
          <w:rFonts w:asciiTheme="majorEastAsia" w:eastAsiaTheme="majorEastAsia" w:hAnsiTheme="majorEastAsia"/>
          <w:lang w:eastAsia="zh-TW"/>
        </w:rPr>
        <w:t>”</w:t>
      </w:r>
      <w:r w:rsidRPr="00B407C1">
        <w:rPr>
          <w:rFonts w:asciiTheme="majorEastAsia" w:eastAsiaTheme="majorEastAsia" w:hAnsiTheme="majorEastAsia" w:hint="eastAsia"/>
          <w:lang w:eastAsia="zh-TW"/>
        </w:rPr>
        <w:t>。為持續推動社會閱讀風氣，培養閱讀習慣，文化局及教育暨青年局聯合主辦、澳門高校圖書館聯盟協辦之澳門首屆</w:t>
      </w:r>
      <w:r w:rsidRPr="00B407C1">
        <w:rPr>
          <w:rFonts w:asciiTheme="majorEastAsia" w:eastAsiaTheme="majorEastAsia" w:hAnsiTheme="majorEastAsia"/>
          <w:lang w:eastAsia="zh-TW"/>
        </w:rPr>
        <w:t>“4‧23</w:t>
      </w:r>
      <w:r w:rsidRPr="00B407C1">
        <w:rPr>
          <w:rFonts w:asciiTheme="majorEastAsia" w:eastAsiaTheme="majorEastAsia" w:hAnsiTheme="majorEastAsia" w:hint="eastAsia"/>
          <w:lang w:eastAsia="zh-TW"/>
        </w:rPr>
        <w:t>全城共讀</w:t>
      </w:r>
      <w:r w:rsidRPr="00B407C1">
        <w:rPr>
          <w:rFonts w:asciiTheme="majorEastAsia" w:eastAsiaTheme="majorEastAsia" w:hAnsiTheme="majorEastAsia"/>
          <w:lang w:eastAsia="zh-TW"/>
        </w:rPr>
        <w:t>”</w:t>
      </w:r>
      <w:r w:rsidRPr="00B407C1">
        <w:rPr>
          <w:rFonts w:asciiTheme="majorEastAsia" w:eastAsiaTheme="majorEastAsia" w:hAnsiTheme="majorEastAsia" w:hint="eastAsia"/>
          <w:lang w:eastAsia="zh-TW"/>
        </w:rPr>
        <w:t>活動將於今年</w:t>
      </w:r>
      <w:r w:rsidRPr="00B407C1">
        <w:rPr>
          <w:rFonts w:asciiTheme="majorEastAsia" w:eastAsiaTheme="majorEastAsia" w:hAnsiTheme="majorEastAsia"/>
          <w:lang w:eastAsia="zh-TW"/>
        </w:rPr>
        <w:t>4</w:t>
      </w:r>
      <w:r w:rsidRPr="00B407C1">
        <w:rPr>
          <w:rFonts w:asciiTheme="majorEastAsia" w:eastAsiaTheme="majorEastAsia" w:hAnsiTheme="majorEastAsia" w:hint="eastAsia"/>
          <w:lang w:eastAsia="zh-TW"/>
        </w:rPr>
        <w:t>月</w:t>
      </w:r>
      <w:r w:rsidRPr="00B407C1">
        <w:rPr>
          <w:rFonts w:asciiTheme="majorEastAsia" w:eastAsiaTheme="majorEastAsia" w:hAnsiTheme="majorEastAsia"/>
          <w:lang w:eastAsia="zh-TW"/>
        </w:rPr>
        <w:t>23</w:t>
      </w:r>
      <w:r w:rsidRPr="00B407C1">
        <w:rPr>
          <w:rFonts w:asciiTheme="majorEastAsia" w:eastAsiaTheme="majorEastAsia" w:hAnsiTheme="majorEastAsia" w:hint="eastAsia"/>
          <w:lang w:eastAsia="zh-TW"/>
        </w:rPr>
        <w:t>日舉行</w:t>
      </w:r>
    </w:p>
    <w:p w:rsidR="00506B0F" w:rsidRPr="00506B0F" w:rsidRDefault="00506B0F" w:rsidP="00506B0F">
      <w:pPr>
        <w:rPr>
          <w:rFonts w:asciiTheme="majorEastAsia" w:eastAsiaTheme="majorEastAsia" w:hAnsiTheme="majorEastAsia"/>
          <w:lang w:eastAsia="zh-TW"/>
        </w:rPr>
      </w:pPr>
    </w:p>
    <w:p w:rsidR="00506B0F" w:rsidRPr="00B90259" w:rsidRDefault="00506B0F" w:rsidP="00B90259">
      <w:pPr>
        <w:pStyle w:val="a4"/>
        <w:numPr>
          <w:ilvl w:val="0"/>
          <w:numId w:val="9"/>
        </w:numPr>
        <w:shd w:val="clear" w:color="auto" w:fill="FFFFFF"/>
        <w:ind w:leftChars="0"/>
        <w:rPr>
          <w:rFonts w:ascii="新細明體" w:hAnsi="新細明體"/>
          <w:b/>
          <w:bCs/>
          <w:lang w:eastAsia="zh-TW"/>
        </w:rPr>
      </w:pPr>
      <w:r w:rsidRPr="00B90259">
        <w:rPr>
          <w:rFonts w:ascii="新細明體" w:hAnsi="新細明體" w:hint="eastAsia"/>
          <w:b/>
          <w:bCs/>
          <w:lang w:eastAsia="zh-TW"/>
        </w:rPr>
        <w:t>統一資源發現與服務系統（“澳門資訊港”）會議</w:t>
      </w:r>
    </w:p>
    <w:p w:rsidR="00506B0F" w:rsidRDefault="00506B0F" w:rsidP="00B90259">
      <w:pPr>
        <w:shd w:val="clear" w:color="auto" w:fill="FFFFFF"/>
        <w:rPr>
          <w:rFonts w:ascii="新細明體" w:hAnsi="新細明體"/>
          <w:lang w:eastAsia="zh-TW"/>
        </w:rPr>
      </w:pPr>
      <w:r w:rsidRPr="00506B0F">
        <w:rPr>
          <w:rFonts w:ascii="新細明體" w:hAnsi="新細明體"/>
          <w:lang w:eastAsia="zh-TW"/>
        </w:rPr>
        <w:t>2018</w:t>
      </w:r>
      <w:r w:rsidRPr="00506B0F">
        <w:rPr>
          <w:rFonts w:ascii="新細明體" w:hAnsi="新細明體" w:hint="eastAsia"/>
          <w:lang w:eastAsia="zh-TW"/>
        </w:rPr>
        <w:t>年</w:t>
      </w:r>
      <w:r w:rsidRPr="00506B0F">
        <w:rPr>
          <w:rFonts w:ascii="新細明體" w:hAnsi="新細明體"/>
          <w:lang w:eastAsia="zh-TW"/>
        </w:rPr>
        <w:t>9</w:t>
      </w:r>
      <w:r w:rsidRPr="00506B0F">
        <w:rPr>
          <w:rFonts w:ascii="新細明體" w:hAnsi="新細明體" w:hint="eastAsia"/>
          <w:lang w:eastAsia="zh-TW"/>
        </w:rPr>
        <w:t>月</w:t>
      </w:r>
      <w:r w:rsidRPr="00506B0F">
        <w:rPr>
          <w:rFonts w:ascii="新細明體" w:hAnsi="新細明體"/>
          <w:lang w:eastAsia="zh-TW"/>
        </w:rPr>
        <w:t>18</w:t>
      </w:r>
      <w:r w:rsidRPr="00506B0F">
        <w:rPr>
          <w:rFonts w:ascii="新細明體" w:hAnsi="新細明體" w:hint="eastAsia"/>
          <w:lang w:eastAsia="zh-TW"/>
        </w:rPr>
        <w:t>日下午在澳門大學圖書館組織召開了由</w:t>
      </w:r>
      <w:r w:rsidRPr="00506B0F">
        <w:rPr>
          <w:rFonts w:ascii="新細明體" w:hAnsi="新細明體"/>
          <w:lang w:eastAsia="zh-TW"/>
        </w:rPr>
        <w:t>MALA</w:t>
      </w:r>
      <w:r w:rsidRPr="00506B0F">
        <w:rPr>
          <w:rFonts w:ascii="新細明體" w:hAnsi="新細明體" w:hint="eastAsia"/>
          <w:lang w:eastAsia="zh-TW"/>
        </w:rPr>
        <w:t>成員館參加的</w:t>
      </w:r>
      <w:r w:rsidRPr="00506B0F">
        <w:rPr>
          <w:rFonts w:ascii="新細明體" w:hAnsi="新細明體"/>
          <w:lang w:eastAsia="zh-TW"/>
        </w:rPr>
        <w:t>MALA</w:t>
      </w:r>
      <w:r w:rsidRPr="00506B0F">
        <w:rPr>
          <w:rFonts w:ascii="新細明體" w:hAnsi="新細明體" w:hint="eastAsia"/>
          <w:lang w:eastAsia="zh-TW"/>
        </w:rPr>
        <w:t>統一資源發現與服務系統平臺（“澳門資訊港”）項目研討會。參加會議的</w:t>
      </w:r>
      <w:r w:rsidRPr="00506B0F">
        <w:rPr>
          <w:rFonts w:ascii="新細明體" w:hAnsi="新細明體"/>
          <w:lang w:eastAsia="zh-TW"/>
        </w:rPr>
        <w:t>MALA</w:t>
      </w:r>
      <w:r w:rsidRPr="00506B0F">
        <w:rPr>
          <w:rFonts w:ascii="新細明體" w:hAnsi="新細明體" w:hint="eastAsia"/>
          <w:lang w:eastAsia="zh-TW"/>
        </w:rPr>
        <w:t>成員館有澳門大學圖書館、澳門科技大學圖書館、澳門理工大學圖書館、澳門城市大學圖書館、澳門旅遊學院圖書館。會議由澳門大學圖書館副館長、</w:t>
      </w:r>
      <w:r w:rsidRPr="00506B0F">
        <w:rPr>
          <w:rFonts w:ascii="新細明體" w:hAnsi="新細明體"/>
          <w:lang w:eastAsia="zh-TW"/>
        </w:rPr>
        <w:t>MALA</w:t>
      </w:r>
      <w:r w:rsidRPr="00506B0F">
        <w:rPr>
          <w:rFonts w:ascii="新細明體" w:hAnsi="新細明體" w:hint="eastAsia"/>
          <w:lang w:eastAsia="zh-TW"/>
        </w:rPr>
        <w:t>資訊協會理事長王國強博士主持。研討會邀請艾利貝斯軟件科技發展（北京）有限公司沈輔成總經理介紹了基於</w:t>
      </w:r>
      <w:r w:rsidRPr="00506B0F">
        <w:rPr>
          <w:rFonts w:ascii="新細明體" w:hAnsi="新細明體"/>
          <w:lang w:eastAsia="zh-TW"/>
        </w:rPr>
        <w:t>Primo-SFX</w:t>
      </w:r>
      <w:r w:rsidRPr="00506B0F">
        <w:rPr>
          <w:rFonts w:ascii="新細明體" w:hAnsi="新細明體" w:hint="eastAsia"/>
          <w:lang w:eastAsia="zh-TW"/>
        </w:rPr>
        <w:t>資源發現與服務平臺的圖書館聯盟統一資源發現與服務系統平臺解決方案，並基於</w:t>
      </w:r>
      <w:r w:rsidRPr="00506B0F">
        <w:rPr>
          <w:rFonts w:ascii="新細明體" w:hAnsi="新細明體"/>
          <w:lang w:eastAsia="zh-TW"/>
        </w:rPr>
        <w:t>CASHL</w:t>
      </w:r>
      <w:r w:rsidRPr="00506B0F">
        <w:rPr>
          <w:rFonts w:ascii="新細明體" w:hAnsi="新細明體" w:hint="eastAsia"/>
          <w:lang w:eastAsia="zh-TW"/>
        </w:rPr>
        <w:t>（中國高校人文社會科學文獻中心）和深圳文獻港兩個實際案例演示了</w:t>
      </w:r>
      <w:r w:rsidRPr="00506B0F">
        <w:rPr>
          <w:rFonts w:ascii="新細明體" w:hAnsi="新細明體"/>
          <w:lang w:eastAsia="zh-TW"/>
        </w:rPr>
        <w:t>Primo-SFX</w:t>
      </w:r>
      <w:r w:rsidRPr="00506B0F">
        <w:rPr>
          <w:rFonts w:ascii="新細明體" w:hAnsi="新細明體" w:hint="eastAsia"/>
          <w:lang w:eastAsia="zh-TW"/>
        </w:rPr>
        <w:t>資源發現與服務平臺的系統功能及優勢特點。然後由澳門科技大學戴龍基館長主持，強調說明了“澳門資訊港”項目建設對於加強澳門高校圖書館間的合作、提升澳門學術圖書館的整體顯示度和整體服務能力和服務水平的意義。接著各成員館就“澳門資訊港”建設原則、部署模式、系統功能、以及具體實施等各方面進行了交流討論。同時針對</w:t>
      </w:r>
      <w:r w:rsidRPr="00506B0F">
        <w:rPr>
          <w:rFonts w:ascii="新細明體" w:hAnsi="新細明體"/>
          <w:lang w:eastAsia="zh-TW"/>
        </w:rPr>
        <w:t>MALA</w:t>
      </w:r>
      <w:r w:rsidRPr="00506B0F">
        <w:rPr>
          <w:rFonts w:ascii="新細明體" w:hAnsi="新細明體" w:hint="eastAsia"/>
          <w:lang w:eastAsia="zh-TW"/>
        </w:rPr>
        <w:t>各成員館的不同現狀提出的各種問題，艾利貝斯公司給予了解答。</w:t>
      </w:r>
    </w:p>
    <w:p w:rsidR="00167EBC" w:rsidRDefault="00167EBC" w:rsidP="00B90259">
      <w:pPr>
        <w:shd w:val="clear" w:color="auto" w:fill="FFFFFF"/>
        <w:rPr>
          <w:rFonts w:ascii="新細明體" w:hAnsi="新細明體"/>
          <w:lang w:eastAsia="zh-TW"/>
        </w:rPr>
      </w:pPr>
    </w:p>
    <w:p w:rsidR="00167EBC" w:rsidRPr="00506B0F" w:rsidRDefault="00167EBC" w:rsidP="00B90259">
      <w:pPr>
        <w:shd w:val="clear" w:color="auto" w:fill="FFFFFF"/>
        <w:rPr>
          <w:rFonts w:ascii="新細明體" w:hAnsi="新細明體"/>
          <w:lang w:eastAsia="zh-TW"/>
        </w:rPr>
      </w:pPr>
      <w:r w:rsidRPr="00167EBC">
        <w:rPr>
          <w:rFonts w:ascii="新細明體" w:hAnsi="新細明體"/>
          <w:noProof/>
          <w:lang w:eastAsia="zh-CN"/>
        </w:rPr>
        <w:drawing>
          <wp:inline distT="0" distB="0" distL="0" distR="0" wp14:anchorId="7C2A09BC" wp14:editId="4C66313A">
            <wp:extent cx="5274310" cy="3079115"/>
            <wp:effectExtent l="0" t="0" r="2540" b="6985"/>
            <wp:docPr id="6" name="內容版面配置區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內容版面配置區 5"/>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079115"/>
                    </a:xfrm>
                    <a:prstGeom prst="rect">
                      <a:avLst/>
                    </a:prstGeom>
                  </pic:spPr>
                </pic:pic>
              </a:graphicData>
            </a:graphic>
          </wp:inline>
        </w:drawing>
      </w:r>
    </w:p>
    <w:p w:rsidR="00506B0F" w:rsidRPr="00506B0F" w:rsidRDefault="00506B0F" w:rsidP="00506B0F">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聯合採購資料庫</w:t>
      </w:r>
      <w:r w:rsidR="006E4A23">
        <w:rPr>
          <w:rFonts w:asciiTheme="majorEastAsia" w:eastAsiaTheme="majorEastAsia" w:hAnsiTheme="majorEastAsia" w:hint="eastAsia"/>
          <w:b/>
          <w:lang w:eastAsia="zh-TW"/>
        </w:rPr>
        <w:t>情況</w:t>
      </w:r>
    </w:p>
    <w:p w:rsidR="00080193" w:rsidRDefault="00E20D0F" w:rsidP="005360E3">
      <w:pPr>
        <w:spacing w:line="440" w:lineRule="exact"/>
        <w:jc w:val="both"/>
        <w:rPr>
          <w:rFonts w:asciiTheme="majorEastAsia" w:eastAsiaTheme="majorEastAsia" w:hAnsiTheme="majorEastAsia" w:cs="Arial"/>
          <w:lang w:eastAsia="zh-TW"/>
        </w:rPr>
      </w:pPr>
      <w:r>
        <w:rPr>
          <w:rFonts w:asciiTheme="majorEastAsia" w:eastAsiaTheme="majorEastAsia" w:hAnsiTheme="majorEastAsia" w:cs="Arial" w:hint="eastAsia"/>
          <w:lang w:eastAsia="zh-TW"/>
        </w:rPr>
        <w:t xml:space="preserve">    </w:t>
      </w:r>
      <w:r w:rsidR="00107F31" w:rsidRPr="00107F31">
        <w:rPr>
          <w:rFonts w:asciiTheme="majorEastAsia" w:eastAsiaTheme="majorEastAsia" w:hAnsiTheme="majorEastAsia" w:cs="Arial" w:hint="eastAsia"/>
          <w:lang w:eastAsia="zh-TW"/>
        </w:rPr>
        <w:t>本聯盟在</w:t>
      </w:r>
      <w:r w:rsidR="00107F31" w:rsidRPr="00107F31">
        <w:rPr>
          <w:rFonts w:asciiTheme="majorEastAsia" w:eastAsiaTheme="majorEastAsia" w:hAnsiTheme="majorEastAsia" w:cs="Arial"/>
          <w:lang w:eastAsia="zh-TW"/>
        </w:rPr>
        <w:t>201</w:t>
      </w:r>
      <w:r w:rsidR="00513254">
        <w:rPr>
          <w:rFonts w:asciiTheme="majorEastAsia" w:eastAsiaTheme="majorEastAsia" w:hAnsiTheme="majorEastAsia" w:cs="Arial"/>
          <w:lang w:eastAsia="zh-TW"/>
        </w:rPr>
        <w:t>9</w:t>
      </w:r>
      <w:r w:rsidR="00107F31" w:rsidRPr="00107F31">
        <w:rPr>
          <w:rFonts w:asciiTheme="majorEastAsia" w:eastAsiaTheme="majorEastAsia" w:hAnsiTheme="majorEastAsia" w:cs="Arial" w:hint="eastAsia"/>
          <w:lang w:eastAsia="zh-TW"/>
        </w:rPr>
        <w:t>年得到高教</w:t>
      </w:r>
      <w:r w:rsidR="003009F8">
        <w:rPr>
          <w:rFonts w:asciiTheme="majorEastAsia" w:eastAsiaTheme="majorEastAsia" w:hAnsiTheme="majorEastAsia" w:cs="Arial" w:hint="eastAsia"/>
          <w:lang w:eastAsia="zh-HK"/>
        </w:rPr>
        <w:t>局</w:t>
      </w:r>
      <w:r w:rsidR="00107F31" w:rsidRPr="00107F31">
        <w:rPr>
          <w:rFonts w:asciiTheme="majorEastAsia" w:eastAsiaTheme="majorEastAsia" w:hAnsiTheme="majorEastAsia" w:cs="Arial" w:hint="eastAsia"/>
          <w:lang w:eastAsia="zh-TW"/>
        </w:rPr>
        <w:t>的資助下，整體採購經費</w:t>
      </w:r>
      <w:r w:rsidR="00395697">
        <w:rPr>
          <w:rFonts w:asciiTheme="majorEastAsia" w:eastAsiaTheme="majorEastAsia" w:hAnsiTheme="majorEastAsia" w:cs="Arial" w:hint="eastAsia"/>
          <w:lang w:eastAsia="zh-TW"/>
        </w:rPr>
        <w:t>約</w:t>
      </w:r>
      <w:r w:rsidR="00107F31" w:rsidRPr="00107F31">
        <w:rPr>
          <w:rFonts w:asciiTheme="majorEastAsia" w:eastAsiaTheme="majorEastAsia" w:hAnsiTheme="majorEastAsia" w:cs="Arial" w:hint="eastAsia"/>
          <w:lang w:eastAsia="zh-TW"/>
        </w:rPr>
        <w:t>澳門幣</w:t>
      </w:r>
      <w:r w:rsidR="00395697">
        <w:rPr>
          <w:rFonts w:asciiTheme="majorEastAsia" w:eastAsiaTheme="majorEastAsia" w:hAnsiTheme="majorEastAsia" w:cs="Arial" w:hint="eastAsia"/>
          <w:lang w:eastAsia="zh-TW"/>
        </w:rPr>
        <w:t>1,000</w:t>
      </w:r>
      <w:r w:rsidR="00107F31" w:rsidRPr="00107F31">
        <w:rPr>
          <w:rFonts w:asciiTheme="majorEastAsia" w:eastAsiaTheme="majorEastAsia" w:hAnsiTheme="majorEastAsia" w:cs="Arial" w:hint="eastAsia"/>
          <w:lang w:eastAsia="zh-TW"/>
        </w:rPr>
        <w:t>萬元，聯合採購</w:t>
      </w:r>
      <w:r w:rsidR="00107F31" w:rsidRPr="00107F31">
        <w:rPr>
          <w:rFonts w:asciiTheme="majorEastAsia" w:eastAsiaTheme="majorEastAsia" w:hAnsiTheme="majorEastAsia" w:cs="Arial"/>
          <w:lang w:eastAsia="zh-TW"/>
        </w:rPr>
        <w:t>1</w:t>
      </w:r>
      <w:r w:rsidR="003372A0">
        <w:rPr>
          <w:rFonts w:asciiTheme="majorEastAsia" w:eastAsiaTheme="majorEastAsia" w:hAnsiTheme="majorEastAsia" w:cs="Arial" w:hint="eastAsia"/>
          <w:lang w:eastAsia="zh-TW"/>
        </w:rPr>
        <w:t>3</w:t>
      </w:r>
      <w:r w:rsidR="00107F31" w:rsidRPr="00107F31">
        <w:rPr>
          <w:rFonts w:asciiTheme="majorEastAsia" w:eastAsiaTheme="majorEastAsia" w:hAnsiTheme="majorEastAsia" w:cs="Arial" w:hint="eastAsia"/>
          <w:lang w:eastAsia="zh-TW"/>
        </w:rPr>
        <w:t>個資料庫，以供本聯盟師生使用。</w:t>
      </w:r>
      <w:r w:rsidR="00107F31" w:rsidRPr="00107F31">
        <w:rPr>
          <w:rFonts w:asciiTheme="majorEastAsia" w:eastAsiaTheme="majorEastAsia" w:hAnsiTheme="majorEastAsia" w:cs="Arial"/>
          <w:lang w:eastAsia="zh-TW"/>
        </w:rPr>
        <w:t>1</w:t>
      </w:r>
      <w:r w:rsidR="003009F8">
        <w:rPr>
          <w:rFonts w:asciiTheme="majorEastAsia" w:eastAsiaTheme="majorEastAsia" w:hAnsiTheme="majorEastAsia" w:cs="Arial" w:hint="eastAsia"/>
          <w:lang w:eastAsia="zh-TW"/>
        </w:rPr>
        <w:t>3</w:t>
      </w:r>
      <w:r w:rsidR="00107F31" w:rsidRPr="00107F31">
        <w:rPr>
          <w:rFonts w:asciiTheme="majorEastAsia" w:eastAsiaTheme="majorEastAsia" w:hAnsiTheme="majorEastAsia" w:cs="Arial" w:hint="eastAsia"/>
          <w:lang w:eastAsia="zh-TW"/>
        </w:rPr>
        <w:t>個資料庫包括：「萬方期刊庫</w:t>
      </w:r>
      <w:r w:rsidR="00107F31" w:rsidRPr="00107F31">
        <w:rPr>
          <w:rFonts w:asciiTheme="majorEastAsia" w:eastAsiaTheme="majorEastAsia" w:hAnsiTheme="majorEastAsia" w:cs="Arial" w:hint="eastAsia"/>
          <w:lang w:eastAsia="zh-TW"/>
        </w:rPr>
        <w:lastRenderedPageBreak/>
        <w:t>﹙中國數字化期刋﹚」、「萬方博碩士論文庫﹙中國學位論文數據庫﹚」、「</w:t>
      </w:r>
      <w:r w:rsidR="00107F31" w:rsidRPr="00107F31">
        <w:rPr>
          <w:rFonts w:asciiTheme="majorEastAsia" w:eastAsiaTheme="majorEastAsia" w:hAnsiTheme="majorEastAsia" w:cs="Arial"/>
          <w:lang w:eastAsia="zh-TW"/>
        </w:rPr>
        <w:t>Academic Search Complete</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Business Source Complete</w:t>
      </w:r>
      <w:r w:rsidR="00107F31" w:rsidRPr="00107F31">
        <w:rPr>
          <w:rFonts w:asciiTheme="majorEastAsia" w:eastAsiaTheme="majorEastAsia" w:hAnsiTheme="majorEastAsia" w:cs="Arial" w:hint="eastAsia"/>
          <w:lang w:eastAsia="zh-TW"/>
        </w:rPr>
        <w:t>」、「中文電子期刊服務﹙</w:t>
      </w:r>
      <w:r w:rsidR="00107F31" w:rsidRPr="00107F31">
        <w:rPr>
          <w:rFonts w:asciiTheme="majorEastAsia" w:eastAsiaTheme="majorEastAsia" w:hAnsiTheme="majorEastAsia" w:cs="Arial"/>
          <w:lang w:eastAsia="zh-TW"/>
        </w:rPr>
        <w:t>CEPS</w:t>
      </w:r>
      <w:r w:rsidR="00107F31" w:rsidRPr="00107F31">
        <w:rPr>
          <w:rFonts w:asciiTheme="majorEastAsia" w:eastAsiaTheme="majorEastAsia" w:hAnsiTheme="majorEastAsia" w:cs="Arial" w:hint="eastAsia"/>
          <w:lang w:eastAsia="zh-TW"/>
        </w:rPr>
        <w:t>﹚」、「中文電子學位論文服務﹙</w:t>
      </w:r>
      <w:r w:rsidR="00107F31" w:rsidRPr="00107F31">
        <w:rPr>
          <w:rFonts w:asciiTheme="majorEastAsia" w:eastAsiaTheme="majorEastAsia" w:hAnsiTheme="majorEastAsia" w:cs="Arial"/>
          <w:lang w:eastAsia="zh-TW"/>
        </w:rPr>
        <w:t>CETD</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ProQuest Central</w:t>
      </w:r>
      <w:r w:rsidR="00107F31" w:rsidRPr="00107F31">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lang w:eastAsia="zh-TW"/>
        </w:rPr>
        <w:t>ProQuest Disserta</w:t>
      </w:r>
      <w:r w:rsidR="00107F31" w:rsidRPr="00107F31">
        <w:rPr>
          <w:rFonts w:asciiTheme="majorEastAsia" w:eastAsiaTheme="majorEastAsia" w:hAnsiTheme="majorEastAsia" w:cs="Arial" w:hint="eastAsia"/>
          <w:lang w:eastAsia="zh-TW"/>
        </w:rPr>
        <w:t>tions &amp; Theses Global﹙Full Text</w:t>
      </w:r>
      <w:r w:rsidR="003009F8">
        <w:rPr>
          <w:rFonts w:asciiTheme="majorEastAsia" w:eastAsiaTheme="majorEastAsia" w:hAnsiTheme="majorEastAsia" w:cs="Arial" w:hint="eastAsia"/>
          <w:lang w:eastAsia="zh-TW"/>
        </w:rPr>
        <w:t>」</w:t>
      </w:r>
      <w:r w:rsidR="00107F31" w:rsidRPr="00107F31">
        <w:rPr>
          <w:rFonts w:asciiTheme="majorEastAsia" w:eastAsiaTheme="majorEastAsia" w:hAnsiTheme="majorEastAsia" w:cs="Arial" w:hint="eastAsia"/>
          <w:lang w:eastAsia="zh-TW"/>
        </w:rPr>
        <w:t>、「PsycBooks」、「PsycARTICLES」、讀秀中文學術搜索、慧科新聞</w:t>
      </w:r>
      <w:r w:rsidR="003009F8" w:rsidRPr="00107F31">
        <w:rPr>
          <w:rFonts w:asciiTheme="majorEastAsia" w:eastAsiaTheme="majorEastAsia" w:hAnsiTheme="majorEastAsia" w:cs="Arial" w:hint="eastAsia"/>
          <w:lang w:eastAsia="zh-TW"/>
        </w:rPr>
        <w:t>、</w:t>
      </w:r>
      <w:r w:rsidR="003009F8" w:rsidRPr="00513254">
        <w:rPr>
          <w:rFonts w:asciiTheme="majorEastAsia" w:eastAsiaTheme="majorEastAsia" w:hAnsiTheme="majorEastAsia" w:cs="Arial" w:hint="eastAsia"/>
          <w:lang w:eastAsia="zh-TW"/>
        </w:rPr>
        <w:t>EBSCO電子書</w:t>
      </w:r>
      <w:r w:rsidR="00107F31" w:rsidRPr="00107F31">
        <w:rPr>
          <w:rFonts w:asciiTheme="majorEastAsia" w:eastAsiaTheme="majorEastAsia" w:hAnsiTheme="majorEastAsia" w:cs="Arial" w:hint="eastAsia"/>
          <w:lang w:eastAsia="zh-TW"/>
        </w:rPr>
        <w:t>。</w:t>
      </w:r>
    </w:p>
    <w:p w:rsidR="00107F31" w:rsidRPr="00676A90" w:rsidRDefault="00107F31" w:rsidP="005360E3">
      <w:pPr>
        <w:spacing w:line="440" w:lineRule="exact"/>
        <w:jc w:val="both"/>
        <w:rPr>
          <w:rFonts w:asciiTheme="majorEastAsia" w:eastAsiaTheme="majorEastAsia" w:hAnsiTheme="majorEastAsia" w:cs="Arial"/>
          <w:lang w:eastAsia="zh-TW"/>
        </w:rPr>
      </w:pPr>
    </w:p>
    <w:p w:rsidR="006E4A23" w:rsidRDefault="00107F31" w:rsidP="00513254">
      <w:pPr>
        <w:ind w:firstLine="480"/>
        <w:rPr>
          <w:rFonts w:asciiTheme="majorEastAsia" w:eastAsiaTheme="majorEastAsia" w:hAnsiTheme="majorEastAsia"/>
          <w:lang w:eastAsia="zh-TW"/>
        </w:rPr>
      </w:pPr>
      <w:r w:rsidRPr="00107F31">
        <w:rPr>
          <w:rFonts w:asciiTheme="majorEastAsia" w:eastAsiaTheme="majorEastAsia" w:hAnsiTheme="majorEastAsia" w:hint="eastAsia"/>
          <w:lang w:eastAsia="zh-TW"/>
        </w:rPr>
        <w:t>201</w:t>
      </w:r>
      <w:r w:rsidR="00513254">
        <w:rPr>
          <w:rFonts w:asciiTheme="majorEastAsia" w:eastAsiaTheme="majorEastAsia" w:hAnsiTheme="majorEastAsia" w:hint="eastAsia"/>
          <w:lang w:eastAsia="zh-TW"/>
        </w:rPr>
        <w:t>9</w:t>
      </w:r>
      <w:r w:rsidRPr="00107F31">
        <w:rPr>
          <w:rFonts w:asciiTheme="majorEastAsia" w:eastAsiaTheme="majorEastAsia" w:hAnsiTheme="majorEastAsia" w:hint="eastAsia"/>
          <w:lang w:eastAsia="zh-TW"/>
        </w:rPr>
        <w:t>年</w:t>
      </w:r>
      <w:r w:rsidR="003009F8">
        <w:rPr>
          <w:rFonts w:asciiTheme="majorEastAsia" w:eastAsiaTheme="majorEastAsia" w:hAnsiTheme="majorEastAsia" w:hint="eastAsia"/>
          <w:lang w:eastAsia="zh-TW"/>
        </w:rPr>
        <w:t>13</w:t>
      </w:r>
      <w:r w:rsidRPr="00107F31">
        <w:rPr>
          <w:rFonts w:asciiTheme="majorEastAsia" w:eastAsiaTheme="majorEastAsia" w:hAnsiTheme="majorEastAsia" w:hint="eastAsia"/>
          <w:lang w:eastAsia="zh-TW"/>
        </w:rPr>
        <w:t xml:space="preserve">個資料庫使用總數為 </w:t>
      </w:r>
      <w:r w:rsidR="00513254">
        <w:rPr>
          <w:rFonts w:asciiTheme="majorEastAsia" w:eastAsiaTheme="majorEastAsia" w:hAnsiTheme="majorEastAsia" w:hint="eastAsia"/>
          <w:lang w:eastAsia="zh-TW"/>
        </w:rPr>
        <w:t>5,235,998</w:t>
      </w:r>
      <w:r w:rsidRPr="00107F31">
        <w:rPr>
          <w:rFonts w:asciiTheme="majorEastAsia" w:eastAsiaTheme="majorEastAsia" w:hAnsiTheme="majorEastAsia" w:hint="eastAsia"/>
          <w:lang w:eastAsia="zh-TW"/>
        </w:rPr>
        <w:t>次，與201</w:t>
      </w:r>
      <w:r w:rsidR="00513254">
        <w:rPr>
          <w:rFonts w:asciiTheme="majorEastAsia" w:eastAsiaTheme="majorEastAsia" w:hAnsiTheme="majorEastAsia" w:hint="eastAsia"/>
          <w:lang w:eastAsia="zh-TW"/>
        </w:rPr>
        <w:t>8</w:t>
      </w:r>
      <w:r w:rsidRPr="00107F31">
        <w:rPr>
          <w:rFonts w:asciiTheme="majorEastAsia" w:eastAsiaTheme="majorEastAsia" w:hAnsiTheme="majorEastAsia" w:hint="eastAsia"/>
          <w:lang w:eastAsia="zh-TW"/>
        </w:rPr>
        <w:t>年1</w:t>
      </w:r>
      <w:r w:rsidR="00395697">
        <w:rPr>
          <w:rFonts w:asciiTheme="majorEastAsia" w:eastAsiaTheme="majorEastAsia" w:hAnsiTheme="majorEastAsia" w:hint="eastAsia"/>
          <w:lang w:eastAsia="zh-TW"/>
        </w:rPr>
        <w:t>2</w:t>
      </w:r>
      <w:r w:rsidRPr="00107F31">
        <w:rPr>
          <w:rFonts w:asciiTheme="majorEastAsia" w:eastAsiaTheme="majorEastAsia" w:hAnsiTheme="majorEastAsia" w:hint="eastAsia"/>
          <w:lang w:eastAsia="zh-TW"/>
        </w:rPr>
        <w:t xml:space="preserve">個資料庫使用總數為 </w:t>
      </w:r>
      <w:r w:rsidR="00513254">
        <w:rPr>
          <w:rFonts w:asciiTheme="majorEastAsia" w:eastAsiaTheme="majorEastAsia" w:hAnsiTheme="majorEastAsia" w:hint="eastAsia"/>
          <w:lang w:eastAsia="zh-TW"/>
        </w:rPr>
        <w:t>5,927,811</w:t>
      </w:r>
      <w:r w:rsidRPr="00107F31">
        <w:rPr>
          <w:rFonts w:asciiTheme="majorEastAsia" w:eastAsiaTheme="majorEastAsia" w:hAnsiTheme="majorEastAsia" w:hint="eastAsia"/>
          <w:lang w:eastAsia="zh-TW"/>
        </w:rPr>
        <w:t>次相比</w:t>
      </w:r>
      <w:r w:rsidR="00513254">
        <w:rPr>
          <w:rFonts w:asciiTheme="majorEastAsia" w:eastAsiaTheme="majorEastAsia" w:hAnsiTheme="majorEastAsia" w:hint="eastAsia"/>
          <w:lang w:eastAsia="zh-HK"/>
        </w:rPr>
        <w:t>下跌</w:t>
      </w:r>
      <w:r w:rsidR="00513254">
        <w:rPr>
          <w:rFonts w:asciiTheme="majorEastAsia" w:eastAsiaTheme="majorEastAsia" w:hAnsiTheme="majorEastAsia" w:hint="eastAsia"/>
          <w:lang w:eastAsia="zh-TW"/>
        </w:rPr>
        <w:t>11</w:t>
      </w:r>
      <w:r w:rsidR="00F46A3F">
        <w:rPr>
          <w:rFonts w:asciiTheme="majorEastAsia" w:eastAsiaTheme="majorEastAsia" w:hAnsiTheme="majorEastAsia" w:hint="eastAsia"/>
          <w:lang w:eastAsia="zh-TW"/>
        </w:rPr>
        <w:t>.6</w:t>
      </w:r>
      <w:r w:rsidR="00513254">
        <w:rPr>
          <w:rFonts w:asciiTheme="majorEastAsia" w:eastAsiaTheme="majorEastAsia" w:hAnsiTheme="majorEastAsia" w:hint="eastAsia"/>
          <w:lang w:eastAsia="zh-TW"/>
        </w:rPr>
        <w:t>7</w:t>
      </w:r>
      <w:r w:rsidRPr="00107F31">
        <w:rPr>
          <w:rFonts w:asciiTheme="majorEastAsia" w:eastAsiaTheme="majorEastAsia" w:hAnsiTheme="majorEastAsia" w:hint="eastAsia"/>
          <w:lang w:eastAsia="zh-TW"/>
        </w:rPr>
        <w:t>%。201</w:t>
      </w:r>
      <w:r w:rsidR="00513254">
        <w:rPr>
          <w:rFonts w:asciiTheme="majorEastAsia" w:eastAsiaTheme="majorEastAsia" w:hAnsiTheme="majorEastAsia" w:hint="eastAsia"/>
          <w:lang w:eastAsia="zh-TW"/>
        </w:rPr>
        <w:t>9</w:t>
      </w:r>
      <w:r w:rsidRPr="00107F31">
        <w:rPr>
          <w:rFonts w:asciiTheme="majorEastAsia" w:eastAsiaTheme="majorEastAsia" w:hAnsiTheme="majorEastAsia" w:hint="eastAsia"/>
          <w:lang w:eastAsia="zh-TW"/>
        </w:rPr>
        <w:t>年每次檢索成本約澳門幣1.</w:t>
      </w:r>
      <w:r w:rsidR="00513254">
        <w:rPr>
          <w:rFonts w:asciiTheme="majorEastAsia" w:eastAsiaTheme="majorEastAsia" w:hAnsiTheme="majorEastAsia" w:hint="eastAsia"/>
          <w:lang w:eastAsia="zh-TW"/>
        </w:rPr>
        <w:t>95</w:t>
      </w:r>
      <w:r w:rsidRPr="00107F31">
        <w:rPr>
          <w:rFonts w:asciiTheme="majorEastAsia" w:eastAsiaTheme="majorEastAsia" w:hAnsiTheme="majorEastAsia" w:hint="eastAsia"/>
          <w:lang w:eastAsia="zh-TW"/>
        </w:rPr>
        <w:t>元，與201</w:t>
      </w:r>
      <w:r w:rsidR="00513254">
        <w:rPr>
          <w:rFonts w:asciiTheme="majorEastAsia" w:eastAsiaTheme="majorEastAsia" w:hAnsiTheme="majorEastAsia" w:hint="eastAsia"/>
          <w:lang w:eastAsia="zh-TW"/>
        </w:rPr>
        <w:t>8</w:t>
      </w:r>
      <w:r w:rsidRPr="00107F31">
        <w:rPr>
          <w:rFonts w:asciiTheme="majorEastAsia" w:eastAsiaTheme="majorEastAsia" w:hAnsiTheme="majorEastAsia" w:hint="eastAsia"/>
          <w:lang w:eastAsia="zh-TW"/>
        </w:rPr>
        <w:t>年每次檢索成本約澳門幣1.</w:t>
      </w:r>
      <w:r w:rsidR="00513254">
        <w:rPr>
          <w:rFonts w:asciiTheme="majorEastAsia" w:eastAsiaTheme="majorEastAsia" w:hAnsiTheme="majorEastAsia" w:hint="eastAsia"/>
          <w:lang w:eastAsia="zh-TW"/>
        </w:rPr>
        <w:t>60</w:t>
      </w:r>
      <w:r w:rsidRPr="00107F31">
        <w:rPr>
          <w:rFonts w:asciiTheme="majorEastAsia" w:eastAsiaTheme="majorEastAsia" w:hAnsiTheme="majorEastAsia" w:hint="eastAsia"/>
          <w:lang w:eastAsia="zh-TW"/>
        </w:rPr>
        <w:t>元相比</w:t>
      </w:r>
      <w:r w:rsidR="00513254">
        <w:rPr>
          <w:rFonts w:asciiTheme="majorEastAsia" w:eastAsiaTheme="majorEastAsia" w:hAnsiTheme="majorEastAsia" w:hint="eastAsia"/>
          <w:lang w:eastAsia="zh-HK"/>
        </w:rPr>
        <w:t>上升</w:t>
      </w:r>
      <w:r w:rsidR="00513254">
        <w:rPr>
          <w:rFonts w:asciiTheme="majorEastAsia" w:eastAsiaTheme="majorEastAsia" w:hAnsiTheme="majorEastAsia" w:hint="eastAsia"/>
          <w:lang w:eastAsia="zh-TW"/>
        </w:rPr>
        <w:t>3</w:t>
      </w:r>
      <w:r w:rsidRPr="00107F31">
        <w:rPr>
          <w:rFonts w:asciiTheme="majorEastAsia" w:eastAsiaTheme="majorEastAsia" w:hAnsiTheme="majorEastAsia" w:hint="eastAsia"/>
          <w:lang w:eastAsia="zh-TW"/>
        </w:rPr>
        <w:t>%。</w:t>
      </w:r>
      <w:r w:rsidR="00513254" w:rsidRPr="00513254">
        <w:rPr>
          <w:rFonts w:asciiTheme="majorEastAsia" w:eastAsiaTheme="majorEastAsia" w:hAnsiTheme="majorEastAsia" w:hint="eastAsia"/>
          <w:lang w:eastAsia="zh-TW"/>
        </w:rPr>
        <w:t>就個別資料庫而言，“ProQuest Central” 、 “讀秀中文學術搜索”、“萬方中國數字化期刊庫” 、“慧科新聞”等都有一定的升幅，使用量分別較2018年上升約5%至18%。其他的資料庫使用量有不同程度的跌幅：“ProQuest Dissertations &amp; Theses Global” 2018年及2019年總體分別下跌了20.3%及58.27%，顯示有可能本地高校師生們對英語學位論文的需求正在減低，建議各院校加強相關資源的宣傳及培訓；同時聯盟在新一輪採購中，亦會向供應商ProQuest就不理想的使用情況進行議價。另外,“PsycBooks on EBSCO”、“PsycARTICLES on EBSCO”、“Academic Search Complete”及“Business Source Complete”分別有58%-74%的年度跌幅，除了是實際使用量減少了以外，該四個庫都是整合在內容提供商EBSCO 的EBSCO Discovery System (EDS) 中去，在統計使用數據時，上述四個庫在EDS平台的使用數據亦會被包括在內，以全面反映實際使用情況。自2019年起，各校陸續通過高教局資助的“澳門文獻港”項目，轉移使用了ExLibris 公司的Primo發現系統，該系統作為第三方的資源整合平台，運作上沒有整合上述四個庫的使用數據。因此，上述四個庫在沒有了EDS 統計數字後， 2019年使用數據有較明顯跌幅。</w:t>
      </w:r>
    </w:p>
    <w:p w:rsidR="00513254" w:rsidRPr="00513254" w:rsidRDefault="00513254" w:rsidP="00513254">
      <w:pPr>
        <w:ind w:firstLine="480"/>
        <w:rPr>
          <w:rFonts w:asciiTheme="majorEastAsia" w:eastAsiaTheme="majorEastAsia" w:hAnsiTheme="majorEastAsia"/>
          <w:lang w:eastAsia="zh-TW"/>
        </w:rPr>
      </w:pPr>
    </w:p>
    <w:p w:rsidR="00824169" w:rsidRDefault="00513254" w:rsidP="006A2983">
      <w:pPr>
        <w:rPr>
          <w:rFonts w:asciiTheme="majorEastAsia" w:eastAsiaTheme="majorEastAsia" w:hAnsiTheme="majorEastAsia"/>
          <w:lang w:eastAsia="zh-TW"/>
        </w:rPr>
      </w:pPr>
      <w:r w:rsidRPr="00513254">
        <w:rPr>
          <w:rFonts w:asciiTheme="majorEastAsia" w:eastAsiaTheme="majorEastAsia" w:hAnsiTheme="majorEastAsia" w:hint="eastAsia"/>
          <w:lang w:eastAsia="zh-TW"/>
        </w:rPr>
        <w:t>綜上分析，聯盟聯合購買的電子資料庫涵蓋的學術領域範圍廣泛，藏量豐富，為各院校的學生及教研人員提供豐富的研究及學習參考資源。2019年聯盟使用電子資料庫的整體使用量相較2018年有約12%的跌幅，針對個別使用情況較不理想的電子資料庫，聯盟各成員會進一步了解原因和加強使用培訓及宣傳力度。未來，聯盟將持續對電子資料庫的使用量進行定期檢視，審視其使用成效，並以此作為續訂電子資料庫或與供應商商議價格的考慮依據。</w:t>
      </w:r>
    </w:p>
    <w:p w:rsidR="00513254" w:rsidRPr="00824169" w:rsidRDefault="00513254" w:rsidP="006A2983">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聯合目錄系統</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t>關於每年的更新頻率</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具體訂定可參考如下經驗</w:t>
      </w:r>
      <w:r w:rsidRPr="003009F8">
        <w:rPr>
          <w:rFonts w:asciiTheme="majorEastAsia" w:eastAsiaTheme="majorEastAsia" w:hAnsiTheme="majorEastAsia"/>
          <w:lang w:eastAsia="zh-TW"/>
        </w:rPr>
        <w:t xml:space="preserve">: </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t>澳大更新一次</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在不斷催促跟進的情況下</w:t>
      </w:r>
      <w:r w:rsidR="003009F8">
        <w:rPr>
          <w:rFonts w:asciiTheme="majorEastAsia" w:eastAsiaTheme="majorEastAsia" w:hAnsiTheme="majorEastAsia" w:hint="eastAsia"/>
          <w:lang w:eastAsia="zh-HK"/>
        </w:rPr>
        <w:t>供</w:t>
      </w:r>
      <w:r w:rsidR="003009F8">
        <w:rPr>
          <w:rFonts w:asciiTheme="majorEastAsia" w:eastAsiaTheme="majorEastAsia" w:hAnsiTheme="majorEastAsia" w:hint="eastAsia"/>
          <w:lang w:eastAsia="zh-TW"/>
        </w:rPr>
        <w:t>應</w:t>
      </w:r>
      <w:r w:rsidR="003009F8">
        <w:rPr>
          <w:rFonts w:asciiTheme="majorEastAsia" w:eastAsiaTheme="majorEastAsia" w:hAnsiTheme="majorEastAsia" w:hint="eastAsia"/>
          <w:lang w:eastAsia="zh-HK"/>
        </w:rPr>
        <w:t>商</w:t>
      </w:r>
      <w:r w:rsidRPr="003009F8">
        <w:rPr>
          <w:rFonts w:asciiTheme="majorEastAsia" w:eastAsiaTheme="majorEastAsia" w:hAnsiTheme="majorEastAsia" w:hint="eastAsia"/>
          <w:lang w:eastAsia="zh-TW"/>
        </w:rPr>
        <w:t>也用了整整一個月時間才完成而其它</w:t>
      </w:r>
      <w:r w:rsidR="003009F8">
        <w:rPr>
          <w:rFonts w:asciiTheme="majorEastAsia" w:eastAsiaTheme="majorEastAsia" w:hAnsiTheme="majorEastAsia" w:hint="eastAsia"/>
          <w:lang w:eastAsia="zh-HK"/>
        </w:rPr>
        <w:t>聯</w:t>
      </w:r>
      <w:r w:rsidRPr="003009F8">
        <w:rPr>
          <w:rFonts w:asciiTheme="majorEastAsia" w:eastAsiaTheme="majorEastAsia" w:hAnsiTheme="majorEastAsia" w:hint="eastAsia"/>
          <w:lang w:eastAsia="zh-TW"/>
        </w:rPr>
        <w:t>盟</w:t>
      </w:r>
      <w:r w:rsidR="003009F8">
        <w:rPr>
          <w:rFonts w:asciiTheme="majorEastAsia" w:eastAsiaTheme="majorEastAsia" w:hAnsiTheme="majorEastAsia" w:hint="eastAsia"/>
          <w:lang w:eastAsia="zh-HK"/>
        </w:rPr>
        <w:t>成員</w:t>
      </w:r>
      <w:r w:rsidRPr="003009F8">
        <w:rPr>
          <w:rFonts w:asciiTheme="majorEastAsia" w:eastAsiaTheme="majorEastAsia" w:hAnsiTheme="majorEastAsia" w:hint="eastAsia"/>
          <w:lang w:eastAsia="zh-TW"/>
        </w:rPr>
        <w:t>館的更新</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也隨後用了</w:t>
      </w:r>
      <w:r w:rsidR="003009F8" w:rsidRPr="003009F8">
        <w:rPr>
          <w:rFonts w:asciiTheme="majorEastAsia" w:eastAsiaTheme="majorEastAsia" w:hAnsiTheme="majorEastAsia" w:hint="eastAsia"/>
          <w:lang w:eastAsia="zh-TW"/>
        </w:rPr>
        <w:t>一</w:t>
      </w:r>
      <w:r w:rsidRPr="003009F8">
        <w:rPr>
          <w:rFonts w:asciiTheme="majorEastAsia" w:eastAsiaTheme="majorEastAsia" w:hAnsiTheme="majorEastAsia" w:hint="eastAsia"/>
          <w:lang w:eastAsia="zh-TW"/>
        </w:rPr>
        <w:t>個月時間才陸續全部完成觀察到</w:t>
      </w:r>
      <w:r w:rsidR="003009F8">
        <w:rPr>
          <w:rFonts w:asciiTheme="majorEastAsia" w:eastAsiaTheme="majorEastAsia" w:hAnsiTheme="majorEastAsia" w:hint="eastAsia"/>
          <w:lang w:eastAsia="zh-HK"/>
        </w:rPr>
        <w:t>供</w:t>
      </w:r>
      <w:r w:rsidR="003009F8">
        <w:rPr>
          <w:rFonts w:asciiTheme="majorEastAsia" w:eastAsiaTheme="majorEastAsia" w:hAnsiTheme="majorEastAsia" w:hint="eastAsia"/>
          <w:lang w:eastAsia="zh-TW"/>
        </w:rPr>
        <w:t>應</w:t>
      </w:r>
      <w:r w:rsidR="003009F8">
        <w:rPr>
          <w:rFonts w:asciiTheme="majorEastAsia" w:eastAsiaTheme="majorEastAsia" w:hAnsiTheme="majorEastAsia" w:hint="eastAsia"/>
          <w:lang w:eastAsia="zh-HK"/>
        </w:rPr>
        <w:t>商</w:t>
      </w:r>
      <w:r w:rsidRPr="003009F8">
        <w:rPr>
          <w:rFonts w:asciiTheme="majorEastAsia" w:eastAsiaTheme="majorEastAsia" w:hAnsiTheme="majorEastAsia" w:hint="eastAsia"/>
          <w:lang w:eastAsia="zh-TW"/>
        </w:rPr>
        <w:t>的操作只能完成一間再到另一間</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 xml:space="preserve">無法同時進行 </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lastRenderedPageBreak/>
        <w:t>綜觀以上</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預計</w:t>
      </w:r>
      <w:r w:rsidR="003009F8">
        <w:rPr>
          <w:rFonts w:asciiTheme="majorEastAsia" w:eastAsiaTheme="majorEastAsia" w:hAnsiTheme="majorEastAsia" w:hint="eastAsia"/>
          <w:lang w:eastAsia="zh-HK"/>
        </w:rPr>
        <w:t>供</w:t>
      </w:r>
      <w:r w:rsidR="003009F8">
        <w:rPr>
          <w:rFonts w:asciiTheme="majorEastAsia" w:eastAsiaTheme="majorEastAsia" w:hAnsiTheme="majorEastAsia" w:hint="eastAsia"/>
          <w:lang w:eastAsia="zh-TW"/>
        </w:rPr>
        <w:t>應</w:t>
      </w:r>
      <w:r w:rsidR="003009F8">
        <w:rPr>
          <w:rFonts w:asciiTheme="majorEastAsia" w:eastAsiaTheme="majorEastAsia" w:hAnsiTheme="majorEastAsia" w:hint="eastAsia"/>
          <w:lang w:eastAsia="zh-HK"/>
        </w:rPr>
        <w:t>商</w:t>
      </w:r>
      <w:r w:rsidRPr="003009F8">
        <w:rPr>
          <w:rFonts w:asciiTheme="majorEastAsia" w:eastAsiaTheme="majorEastAsia" w:hAnsiTheme="majorEastAsia" w:hint="eastAsia"/>
          <w:lang w:eastAsia="zh-TW"/>
        </w:rPr>
        <w:t>每次對全部書目的更新操作總體需時最快也要約兩個月</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但當中仍未計算</w:t>
      </w:r>
      <w:r w:rsidRPr="003009F8">
        <w:rPr>
          <w:rFonts w:asciiTheme="majorEastAsia" w:eastAsiaTheme="majorEastAsia" w:hAnsiTheme="majorEastAsia"/>
          <w:lang w:eastAsia="zh-TW"/>
        </w:rPr>
        <w:t>:</w:t>
      </w:r>
      <w:r w:rsidRPr="003009F8">
        <w:rPr>
          <w:rFonts w:asciiTheme="majorEastAsia" w:eastAsiaTheme="majorEastAsia" w:hAnsiTheme="majorEastAsia" w:hint="eastAsia"/>
          <w:lang w:eastAsia="zh-TW"/>
        </w:rPr>
        <w:t>出狀況的後續跟進時間</w:t>
      </w:r>
      <w:r w:rsidR="003009F8">
        <w:rPr>
          <w:rFonts w:asciiTheme="majorEastAsia" w:eastAsiaTheme="majorEastAsia" w:hAnsiTheme="majorEastAsia" w:hint="eastAsia"/>
          <w:lang w:eastAsia="zh-HK"/>
        </w:rPr>
        <w:t>，</w:t>
      </w:r>
      <w:r w:rsidRPr="003009F8">
        <w:rPr>
          <w:rFonts w:asciiTheme="majorEastAsia" w:eastAsiaTheme="majorEastAsia" w:hAnsiTheme="majorEastAsia" w:hint="eastAsia"/>
          <w:lang w:eastAsia="zh-TW"/>
        </w:rPr>
        <w:t>仍有某幾間館沒有提交更新</w:t>
      </w:r>
      <w:r w:rsidR="003009F8">
        <w:rPr>
          <w:rFonts w:asciiTheme="majorEastAsia" w:eastAsiaTheme="majorEastAsia" w:hAnsiTheme="majorEastAsia" w:hint="eastAsia"/>
          <w:lang w:eastAsia="zh-HK"/>
        </w:rPr>
        <w:t>，</w:t>
      </w:r>
      <w:r w:rsidRPr="003009F8">
        <w:rPr>
          <w:rFonts w:asciiTheme="majorEastAsia" w:eastAsiaTheme="majorEastAsia" w:hAnsiTheme="majorEastAsia" w:hint="eastAsia"/>
          <w:lang w:eastAsia="zh-TW"/>
        </w:rPr>
        <w:t>平台仍不斷有大小問題需時彌清和改善</w:t>
      </w:r>
      <w:r w:rsidR="003009F8">
        <w:rPr>
          <w:rFonts w:asciiTheme="majorEastAsia" w:eastAsiaTheme="majorEastAsia" w:hAnsiTheme="majorEastAsia" w:hint="eastAsia"/>
          <w:lang w:eastAsia="zh-HK"/>
        </w:rPr>
        <w:t>。</w:t>
      </w:r>
      <w:r w:rsidRPr="003009F8">
        <w:rPr>
          <w:rFonts w:asciiTheme="majorEastAsia" w:eastAsiaTheme="majorEastAsia" w:hAnsiTheme="majorEastAsia" w:hint="eastAsia"/>
          <w:lang w:eastAsia="zh-TW"/>
        </w:rPr>
        <w:t>因此</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建議於各</w:t>
      </w:r>
      <w:r w:rsidR="003009F8">
        <w:rPr>
          <w:rFonts w:asciiTheme="majorEastAsia" w:eastAsiaTheme="majorEastAsia" w:hAnsiTheme="majorEastAsia" w:hint="eastAsia"/>
          <w:lang w:eastAsia="zh-HK"/>
        </w:rPr>
        <w:t>聯</w:t>
      </w:r>
      <w:r w:rsidR="003009F8" w:rsidRPr="003009F8">
        <w:rPr>
          <w:rFonts w:asciiTheme="majorEastAsia" w:eastAsiaTheme="majorEastAsia" w:hAnsiTheme="majorEastAsia" w:hint="eastAsia"/>
          <w:lang w:eastAsia="zh-TW"/>
        </w:rPr>
        <w:t>盟</w:t>
      </w:r>
      <w:r w:rsidR="003009F8">
        <w:rPr>
          <w:rFonts w:asciiTheme="majorEastAsia" w:eastAsiaTheme="majorEastAsia" w:hAnsiTheme="majorEastAsia" w:hint="eastAsia"/>
          <w:lang w:eastAsia="zh-HK"/>
        </w:rPr>
        <w:t>成員</w:t>
      </w:r>
      <w:r w:rsidR="003009F8" w:rsidRPr="003009F8">
        <w:rPr>
          <w:rFonts w:asciiTheme="majorEastAsia" w:eastAsiaTheme="majorEastAsia" w:hAnsiTheme="majorEastAsia" w:hint="eastAsia"/>
          <w:lang w:eastAsia="zh-TW"/>
        </w:rPr>
        <w:t>館</w:t>
      </w:r>
      <w:r w:rsidRPr="003009F8">
        <w:rPr>
          <w:rFonts w:asciiTheme="majorEastAsia" w:eastAsiaTheme="majorEastAsia" w:hAnsiTheme="majorEastAsia" w:hint="eastAsia"/>
          <w:lang w:eastAsia="zh-TW"/>
        </w:rPr>
        <w:t>人手安排許可的情況下</w:t>
      </w:r>
      <w:r w:rsidRPr="003009F8">
        <w:rPr>
          <w:rFonts w:asciiTheme="majorEastAsia" w:eastAsiaTheme="majorEastAsia" w:hAnsiTheme="majorEastAsia"/>
          <w:lang w:eastAsia="zh-TW"/>
        </w:rPr>
        <w:t>,</w:t>
      </w:r>
      <w:r w:rsidRPr="003009F8">
        <w:rPr>
          <w:rFonts w:asciiTheme="majorEastAsia" w:eastAsiaTheme="majorEastAsia" w:hAnsiTheme="majorEastAsia" w:hint="eastAsia"/>
          <w:lang w:eastAsia="zh-TW"/>
        </w:rPr>
        <w:t>商議暫時將更新頻率定為最多每年兩次或三次為宜</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具體方案如下</w:t>
      </w:r>
      <w:r w:rsidRPr="003009F8">
        <w:rPr>
          <w:rFonts w:asciiTheme="majorEastAsia" w:eastAsiaTheme="majorEastAsia" w:hAnsiTheme="majorEastAsia"/>
          <w:lang w:eastAsia="zh-TW"/>
        </w:rPr>
        <w:t>:</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t>建議提交更新檔月份</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t>方案一</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每年兩次</w:t>
      </w:r>
      <w:r w:rsidRPr="003009F8">
        <w:rPr>
          <w:rFonts w:asciiTheme="majorEastAsia" w:eastAsiaTheme="majorEastAsia" w:hAnsiTheme="majorEastAsia" w:hint="eastAsia"/>
          <w:lang w:eastAsia="zh-TW"/>
        </w:rPr>
        <w:tab/>
      </w:r>
      <w:r w:rsidRPr="003009F8">
        <w:rPr>
          <w:rFonts w:asciiTheme="majorEastAsia" w:eastAsiaTheme="majorEastAsia" w:hAnsiTheme="majorEastAsia"/>
          <w:lang w:eastAsia="zh-TW"/>
        </w:rPr>
        <w:t xml:space="preserve">1 </w:t>
      </w:r>
      <w:r w:rsidRPr="003009F8">
        <w:rPr>
          <w:rFonts w:asciiTheme="majorEastAsia" w:eastAsiaTheme="majorEastAsia" w:hAnsiTheme="majorEastAsia" w:hint="eastAsia"/>
          <w:lang w:eastAsia="zh-TW"/>
        </w:rPr>
        <w:t xml:space="preserve">月 </w:t>
      </w:r>
      <w:r w:rsidRPr="003009F8">
        <w:rPr>
          <w:rFonts w:asciiTheme="majorEastAsia" w:eastAsiaTheme="majorEastAsia" w:hAnsiTheme="majorEastAsia"/>
          <w:lang w:eastAsia="zh-TW"/>
        </w:rPr>
        <w:t xml:space="preserve">&amp; 7 </w:t>
      </w:r>
      <w:r w:rsidRPr="003009F8">
        <w:rPr>
          <w:rFonts w:asciiTheme="majorEastAsia" w:eastAsiaTheme="majorEastAsia" w:hAnsiTheme="majorEastAsia" w:hint="eastAsia"/>
          <w:lang w:eastAsia="zh-TW"/>
        </w:rPr>
        <w:t>月</w:t>
      </w:r>
    </w:p>
    <w:p w:rsidR="00972B88" w:rsidRPr="003009F8" w:rsidRDefault="00144381" w:rsidP="00D819BF">
      <w:pPr>
        <w:ind w:left="426"/>
        <w:rPr>
          <w:rFonts w:asciiTheme="majorEastAsia" w:eastAsiaTheme="majorEastAsia" w:hAnsiTheme="majorEastAsia"/>
          <w:lang w:eastAsia="zh-TW"/>
        </w:rPr>
      </w:pPr>
      <w:r w:rsidRPr="003009F8">
        <w:rPr>
          <w:rFonts w:asciiTheme="majorEastAsia" w:eastAsiaTheme="majorEastAsia" w:hAnsiTheme="majorEastAsia" w:hint="eastAsia"/>
          <w:lang w:eastAsia="zh-TW"/>
        </w:rPr>
        <w:t>方案二</w:t>
      </w:r>
      <w:r w:rsidRPr="003009F8">
        <w:rPr>
          <w:rFonts w:asciiTheme="majorEastAsia" w:eastAsiaTheme="majorEastAsia" w:hAnsiTheme="majorEastAsia"/>
          <w:lang w:eastAsia="zh-TW"/>
        </w:rPr>
        <w:t xml:space="preserve">: </w:t>
      </w:r>
      <w:r w:rsidRPr="003009F8">
        <w:rPr>
          <w:rFonts w:asciiTheme="majorEastAsia" w:eastAsiaTheme="majorEastAsia" w:hAnsiTheme="majorEastAsia" w:hint="eastAsia"/>
          <w:lang w:eastAsia="zh-TW"/>
        </w:rPr>
        <w:t>每年三次</w:t>
      </w:r>
      <w:r w:rsidRPr="003009F8">
        <w:rPr>
          <w:rFonts w:asciiTheme="majorEastAsia" w:eastAsiaTheme="majorEastAsia" w:hAnsiTheme="majorEastAsia" w:hint="eastAsia"/>
          <w:lang w:eastAsia="zh-TW"/>
        </w:rPr>
        <w:tab/>
      </w:r>
      <w:r w:rsidRPr="003009F8">
        <w:rPr>
          <w:rFonts w:asciiTheme="majorEastAsia" w:eastAsiaTheme="majorEastAsia" w:hAnsiTheme="majorEastAsia"/>
          <w:lang w:eastAsia="zh-TW"/>
        </w:rPr>
        <w:t xml:space="preserve">3 </w:t>
      </w:r>
      <w:r w:rsidRPr="003009F8">
        <w:rPr>
          <w:rFonts w:asciiTheme="majorEastAsia" w:eastAsiaTheme="majorEastAsia" w:hAnsiTheme="majorEastAsia" w:hint="eastAsia"/>
          <w:lang w:eastAsia="zh-TW"/>
        </w:rPr>
        <w:t xml:space="preserve">月 </w:t>
      </w:r>
      <w:r w:rsidRPr="003009F8">
        <w:rPr>
          <w:rFonts w:asciiTheme="majorEastAsia" w:eastAsiaTheme="majorEastAsia" w:hAnsiTheme="majorEastAsia"/>
          <w:lang w:eastAsia="zh-TW"/>
        </w:rPr>
        <w:t xml:space="preserve">&amp; 7 </w:t>
      </w:r>
      <w:r w:rsidRPr="003009F8">
        <w:rPr>
          <w:rFonts w:asciiTheme="majorEastAsia" w:eastAsiaTheme="majorEastAsia" w:hAnsiTheme="majorEastAsia" w:hint="eastAsia"/>
          <w:lang w:eastAsia="zh-TW"/>
        </w:rPr>
        <w:t xml:space="preserve">月 </w:t>
      </w:r>
      <w:r w:rsidRPr="003009F8">
        <w:rPr>
          <w:rFonts w:asciiTheme="majorEastAsia" w:eastAsiaTheme="majorEastAsia" w:hAnsiTheme="majorEastAsia"/>
          <w:lang w:eastAsia="zh-TW"/>
        </w:rPr>
        <w:t xml:space="preserve">&amp; 11 </w:t>
      </w:r>
      <w:r w:rsidRPr="003009F8">
        <w:rPr>
          <w:rFonts w:asciiTheme="majorEastAsia" w:eastAsiaTheme="majorEastAsia" w:hAnsiTheme="majorEastAsia" w:hint="eastAsia"/>
          <w:lang w:eastAsia="zh-TW"/>
        </w:rPr>
        <w:t>月</w:t>
      </w:r>
    </w:p>
    <w:p w:rsidR="00506B0F" w:rsidRPr="00506B0F" w:rsidRDefault="00506B0F" w:rsidP="003009F8">
      <w:pPr>
        <w:rPr>
          <w:rFonts w:asciiTheme="majorEastAsia" w:eastAsiaTheme="majorEastAsia" w:hAnsiTheme="majorEastAsia"/>
          <w:b/>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學位論文系統</w:t>
      </w:r>
    </w:p>
    <w:p w:rsidR="007C0E1F" w:rsidRPr="007C0E1F" w:rsidRDefault="007C0E1F" w:rsidP="00D819BF">
      <w:pPr>
        <w:ind w:left="426"/>
        <w:rPr>
          <w:rFonts w:asciiTheme="majorEastAsia" w:eastAsiaTheme="majorEastAsia" w:hAnsiTheme="majorEastAsia"/>
          <w:lang w:eastAsia="zh-HK"/>
        </w:rPr>
      </w:pPr>
      <w:r w:rsidRPr="007C0E1F">
        <w:rPr>
          <w:rFonts w:asciiTheme="majorEastAsia" w:eastAsiaTheme="majorEastAsia" w:hAnsiTheme="majorEastAsia" w:hint="eastAsia"/>
          <w:lang w:eastAsia="zh-TW"/>
        </w:rPr>
        <w:t>學位論文是由華藝</w:t>
      </w:r>
      <w:r>
        <w:rPr>
          <w:rFonts w:asciiTheme="majorEastAsia" w:eastAsiaTheme="majorEastAsia" w:hAnsiTheme="majorEastAsia" w:hint="eastAsia"/>
          <w:lang w:eastAsia="zh-TW"/>
        </w:rPr>
        <w:t>數位公司</w:t>
      </w:r>
      <w:r w:rsidRPr="007C0E1F">
        <w:rPr>
          <w:rFonts w:asciiTheme="majorEastAsia" w:eastAsiaTheme="majorEastAsia" w:hAnsiTheme="majorEastAsia" w:hint="eastAsia"/>
          <w:lang w:eastAsia="zh-TW"/>
        </w:rPr>
        <w:t>負責</w:t>
      </w:r>
      <w:r w:rsidR="00506B0F">
        <w:rPr>
          <w:rFonts w:asciiTheme="majorEastAsia" w:eastAsiaTheme="majorEastAsia" w:hAnsiTheme="majorEastAsia" w:hint="eastAsia"/>
          <w:lang w:eastAsia="zh-TW"/>
        </w:rPr>
        <w:t>維護</w:t>
      </w:r>
      <w:r w:rsidRPr="007C0E1F">
        <w:rPr>
          <w:rFonts w:asciiTheme="majorEastAsia" w:eastAsiaTheme="majorEastAsia" w:hAnsiTheme="majorEastAsia" w:hint="eastAsia"/>
          <w:lang w:eastAsia="zh-TW"/>
        </w:rPr>
        <w:t>，目前已有</w:t>
      </w:r>
      <w:r w:rsidR="00506B0F">
        <w:rPr>
          <w:rFonts w:asciiTheme="majorEastAsia" w:eastAsiaTheme="majorEastAsia" w:hAnsiTheme="majorEastAsia" w:hint="eastAsia"/>
          <w:lang w:eastAsia="zh-TW"/>
        </w:rPr>
        <w:t>3</w:t>
      </w:r>
      <w:r w:rsidRPr="007C0E1F">
        <w:rPr>
          <w:rFonts w:asciiTheme="majorEastAsia" w:eastAsiaTheme="majorEastAsia" w:hAnsiTheme="majorEastAsia" w:hint="eastAsia"/>
          <w:lang w:eastAsia="zh-TW"/>
        </w:rPr>
        <w:t>個圖書館在平台上</w:t>
      </w:r>
      <w:r w:rsidR="00506B0F">
        <w:rPr>
          <w:rFonts w:asciiTheme="majorEastAsia" w:eastAsiaTheme="majorEastAsia" w:hAnsiTheme="majorEastAsia" w:hint="eastAsia"/>
          <w:lang w:eastAsia="zh-TW"/>
        </w:rPr>
        <w:t>，包括</w:t>
      </w:r>
      <w:r w:rsidRPr="007C0E1F">
        <w:rPr>
          <w:rFonts w:asciiTheme="majorEastAsia" w:eastAsiaTheme="majorEastAsia" w:hAnsiTheme="majorEastAsia" w:hint="eastAsia"/>
          <w:lang w:eastAsia="zh-TW"/>
        </w:rPr>
        <w:t>澳科大、澳門大學論文資料更新大概</w:t>
      </w:r>
      <w:r w:rsidR="00506B0F">
        <w:rPr>
          <w:rFonts w:asciiTheme="majorEastAsia" w:eastAsiaTheme="majorEastAsia" w:hAnsiTheme="majorEastAsia" w:hint="eastAsia"/>
          <w:lang w:eastAsia="zh-TW"/>
        </w:rPr>
        <w:t>10,000</w:t>
      </w:r>
      <w:r w:rsidRPr="007C0E1F">
        <w:rPr>
          <w:rFonts w:asciiTheme="majorEastAsia" w:eastAsiaTheme="majorEastAsia" w:hAnsiTheme="majorEastAsia" w:hint="eastAsia"/>
          <w:lang w:eastAsia="zh-TW"/>
        </w:rPr>
        <w:t>筆在網頁上 : 澳科大近5</w:t>
      </w:r>
      <w:r w:rsidR="00506B0F">
        <w:rPr>
          <w:rFonts w:asciiTheme="majorEastAsia" w:eastAsiaTheme="majorEastAsia" w:hAnsiTheme="majorEastAsia" w:hint="eastAsia"/>
          <w:lang w:eastAsia="zh-TW"/>
        </w:rPr>
        <w:t>,000</w:t>
      </w:r>
      <w:r w:rsidRPr="007C0E1F">
        <w:rPr>
          <w:rFonts w:asciiTheme="majorEastAsia" w:eastAsiaTheme="majorEastAsia" w:hAnsiTheme="majorEastAsia" w:hint="eastAsia"/>
          <w:lang w:eastAsia="zh-TW"/>
        </w:rPr>
        <w:t>多筆、澳大近</w:t>
      </w:r>
      <w:r w:rsidR="00506B0F">
        <w:rPr>
          <w:rFonts w:asciiTheme="majorEastAsia" w:eastAsiaTheme="majorEastAsia" w:hAnsiTheme="majorEastAsia" w:hint="eastAsia"/>
          <w:lang w:eastAsia="zh-TW"/>
        </w:rPr>
        <w:t>4,100</w:t>
      </w:r>
      <w:r w:rsidRPr="007C0E1F">
        <w:rPr>
          <w:rFonts w:asciiTheme="majorEastAsia" w:eastAsiaTheme="majorEastAsia" w:hAnsiTheme="majorEastAsia" w:hint="eastAsia"/>
          <w:lang w:eastAsia="zh-TW"/>
        </w:rPr>
        <w:t>多筆，城大亦有7</w:t>
      </w:r>
      <w:r w:rsidR="00506B0F">
        <w:rPr>
          <w:rFonts w:asciiTheme="majorEastAsia" w:eastAsiaTheme="majorEastAsia" w:hAnsiTheme="majorEastAsia" w:hint="eastAsia"/>
          <w:lang w:eastAsia="zh-TW"/>
        </w:rPr>
        <w:t>00</w:t>
      </w:r>
      <w:r w:rsidRPr="007C0E1F">
        <w:rPr>
          <w:rFonts w:asciiTheme="majorEastAsia" w:eastAsiaTheme="majorEastAsia" w:hAnsiTheme="majorEastAsia" w:hint="eastAsia"/>
          <w:lang w:eastAsia="zh-TW"/>
        </w:rPr>
        <w:t>多筆、之後澳大聖大等亦會陸續把學位論文上載、理工與旅院亦建議把他們優秀的論文放進論文庫。</w:t>
      </w:r>
      <w:r w:rsidR="003009F8">
        <w:rPr>
          <w:rFonts w:asciiTheme="majorEastAsia" w:eastAsiaTheme="majorEastAsia" w:hAnsiTheme="majorEastAsia" w:hint="eastAsia"/>
          <w:lang w:eastAsia="zh-HK"/>
        </w:rPr>
        <w:t>另</w:t>
      </w:r>
      <w:r w:rsidR="003009F8">
        <w:rPr>
          <w:rFonts w:asciiTheme="majorEastAsia" w:eastAsiaTheme="majorEastAsia" w:hAnsiTheme="majorEastAsia" w:hint="eastAsia"/>
          <w:lang w:eastAsia="zh-TW"/>
        </w:rPr>
        <w:t>外</w:t>
      </w:r>
      <w:r w:rsidR="003009F8">
        <w:rPr>
          <w:rFonts w:asciiTheme="majorEastAsia" w:eastAsiaTheme="majorEastAsia" w:hAnsiTheme="majorEastAsia" w:hint="eastAsia"/>
          <w:lang w:eastAsia="zh-HK"/>
        </w:rPr>
        <w:t>，</w:t>
      </w:r>
      <w:r w:rsidR="003009F8" w:rsidRPr="003009F8">
        <w:rPr>
          <w:rFonts w:asciiTheme="majorEastAsia" w:eastAsiaTheme="majorEastAsia" w:hAnsiTheme="majorEastAsia" w:hint="eastAsia"/>
          <w:lang w:eastAsia="zh-TW"/>
        </w:rPr>
        <w:t>澳門理工學院圖書館建議</w:t>
      </w:r>
      <w:r w:rsidR="00144381" w:rsidRPr="003009F8">
        <w:rPr>
          <w:rFonts w:asciiTheme="majorEastAsia" w:eastAsiaTheme="majorEastAsia" w:hAnsiTheme="majorEastAsia" w:hint="eastAsia"/>
          <w:lang w:eastAsia="zh-TW"/>
        </w:rPr>
        <w:t>改名稱為</w:t>
      </w:r>
      <w:r w:rsidR="00144381" w:rsidRPr="003009F8">
        <w:rPr>
          <w:rFonts w:asciiTheme="majorEastAsia" w:eastAsiaTheme="majorEastAsia" w:hAnsiTheme="majorEastAsia"/>
          <w:lang w:eastAsia="zh-TW"/>
        </w:rPr>
        <w:t xml:space="preserve">” </w:t>
      </w:r>
      <w:r w:rsidR="00144381" w:rsidRPr="003009F8">
        <w:rPr>
          <w:rFonts w:asciiTheme="majorEastAsia" w:eastAsiaTheme="majorEastAsia" w:hAnsiTheme="majorEastAsia" w:hint="eastAsia"/>
          <w:lang w:eastAsia="zh-TW"/>
        </w:rPr>
        <w:t>澳門高校圖書館聯盟論文庫</w:t>
      </w:r>
      <w:r w:rsidR="00144381" w:rsidRPr="003009F8">
        <w:rPr>
          <w:rFonts w:asciiTheme="majorEastAsia" w:eastAsiaTheme="majorEastAsia" w:hAnsiTheme="majorEastAsia"/>
          <w:lang w:eastAsia="zh-TW"/>
        </w:rPr>
        <w:t xml:space="preserve"> MALA Academic Collections”, </w:t>
      </w:r>
      <w:r w:rsidR="00144381" w:rsidRPr="003009F8">
        <w:rPr>
          <w:rFonts w:asciiTheme="majorEastAsia" w:eastAsiaTheme="majorEastAsia" w:hAnsiTheme="majorEastAsia" w:hint="eastAsia"/>
          <w:lang w:eastAsia="zh-TW"/>
        </w:rPr>
        <w:t>以便可把其他非博碩士論文</w:t>
      </w:r>
      <w:r w:rsidR="00144381" w:rsidRPr="003009F8">
        <w:rPr>
          <w:rFonts w:asciiTheme="majorEastAsia" w:eastAsiaTheme="majorEastAsia" w:hAnsiTheme="majorEastAsia"/>
          <w:lang w:eastAsia="zh-TW"/>
        </w:rPr>
        <w:t>(</w:t>
      </w:r>
      <w:r w:rsidR="00144381" w:rsidRPr="003009F8">
        <w:rPr>
          <w:rFonts w:asciiTheme="majorEastAsia" w:eastAsiaTheme="majorEastAsia" w:hAnsiTheme="majorEastAsia" w:hint="eastAsia"/>
          <w:lang w:eastAsia="zh-TW"/>
        </w:rPr>
        <w:t>如學生優秀作品</w:t>
      </w:r>
      <w:r w:rsidR="00144381" w:rsidRPr="003009F8">
        <w:rPr>
          <w:rFonts w:asciiTheme="majorEastAsia" w:eastAsiaTheme="majorEastAsia" w:hAnsiTheme="majorEastAsia"/>
          <w:lang w:eastAsia="zh-TW"/>
        </w:rPr>
        <w:t xml:space="preserve">) </w:t>
      </w:r>
      <w:r w:rsidR="00144381" w:rsidRPr="003009F8">
        <w:rPr>
          <w:rFonts w:asciiTheme="majorEastAsia" w:eastAsiaTheme="majorEastAsia" w:hAnsiTheme="majorEastAsia" w:hint="eastAsia"/>
          <w:lang w:eastAsia="zh-TW"/>
        </w:rPr>
        <w:t>一併上載至系統中供查閱</w:t>
      </w:r>
      <w:r w:rsidR="00144381" w:rsidRPr="003009F8">
        <w:rPr>
          <w:rFonts w:asciiTheme="majorEastAsia" w:eastAsiaTheme="majorEastAsia" w:hAnsiTheme="majorEastAsia"/>
          <w:lang w:eastAsia="zh-TW"/>
        </w:rPr>
        <w:t xml:space="preserve">. </w:t>
      </w:r>
      <w:r w:rsidR="00144381" w:rsidRPr="003009F8">
        <w:rPr>
          <w:rFonts w:asciiTheme="majorEastAsia" w:eastAsiaTheme="majorEastAsia" w:hAnsiTheme="majorEastAsia" w:hint="eastAsia"/>
          <w:lang w:eastAsia="zh-TW"/>
        </w:rPr>
        <w:t>同時建議網頁首頁加簡單說明典藏內容</w:t>
      </w:r>
      <w:r w:rsidR="00144381" w:rsidRPr="003009F8">
        <w:rPr>
          <w:rFonts w:asciiTheme="majorEastAsia" w:eastAsiaTheme="majorEastAsia" w:hAnsiTheme="majorEastAsia"/>
          <w:lang w:eastAsia="zh-TW"/>
        </w:rPr>
        <w:t>,   </w:t>
      </w:r>
      <w:r w:rsidR="00144381" w:rsidRPr="003009F8">
        <w:rPr>
          <w:rFonts w:asciiTheme="majorEastAsia" w:eastAsiaTheme="majorEastAsia" w:hAnsiTheme="majorEastAsia" w:hint="eastAsia"/>
          <w:lang w:eastAsia="zh-TW"/>
        </w:rPr>
        <w:t>及不顯示論文篇數</w:t>
      </w:r>
      <w:r w:rsidR="00D819BF">
        <w:rPr>
          <w:rFonts w:asciiTheme="majorEastAsia" w:eastAsiaTheme="majorEastAsia" w:hAnsiTheme="majorEastAsia" w:hint="eastAsia"/>
          <w:lang w:eastAsia="zh-HK"/>
        </w:rPr>
        <w:t>。</w:t>
      </w:r>
    </w:p>
    <w:p w:rsidR="00C07BC9" w:rsidRPr="00C07BC9" w:rsidRDefault="00C07BC9" w:rsidP="006A2983">
      <w:pPr>
        <w:rPr>
          <w:rFonts w:asciiTheme="majorEastAsia" w:eastAsiaTheme="majorEastAsia" w:hAnsiTheme="majorEastAsia"/>
          <w:lang w:eastAsia="zh-TW"/>
        </w:rPr>
      </w:pPr>
    </w:p>
    <w:p w:rsidR="00C07BC9" w:rsidRPr="00D819BF" w:rsidRDefault="00D819BF" w:rsidP="00D819BF">
      <w:pPr>
        <w:pStyle w:val="a4"/>
        <w:numPr>
          <w:ilvl w:val="0"/>
          <w:numId w:val="1"/>
        </w:numPr>
        <w:shd w:val="clear" w:color="auto" w:fill="FFFFFF"/>
        <w:ind w:leftChars="0"/>
        <w:rPr>
          <w:rFonts w:asciiTheme="majorEastAsia" w:eastAsiaTheme="majorEastAsia" w:hAnsiTheme="majorEastAsia"/>
          <w:lang w:eastAsia="zh-TW"/>
        </w:rPr>
      </w:pPr>
      <w:r w:rsidRPr="00D819BF">
        <w:rPr>
          <w:rFonts w:asciiTheme="majorEastAsia" w:eastAsiaTheme="majorEastAsia" w:hAnsiTheme="majorEastAsia"/>
          <w:b/>
          <w:lang w:eastAsia="zh-TW"/>
        </w:rPr>
        <w:t>2019 澳門圖書館周活動</w:t>
      </w:r>
    </w:p>
    <w:p w:rsidR="00D819BF" w:rsidRPr="00D819BF" w:rsidRDefault="00D819BF" w:rsidP="00D819BF">
      <w:pPr>
        <w:pStyle w:val="a4"/>
        <w:shd w:val="clear" w:color="auto" w:fill="FFFFFF"/>
        <w:ind w:leftChars="0"/>
        <w:rPr>
          <w:rFonts w:asciiTheme="majorEastAsia" w:eastAsiaTheme="majorEastAsia" w:hAnsiTheme="majorEastAsia"/>
          <w:lang w:eastAsia="zh-TW"/>
        </w:rPr>
      </w:pPr>
    </w:p>
    <w:p w:rsidR="00972B88" w:rsidRPr="00D819BF" w:rsidRDefault="00144381" w:rsidP="00D819BF">
      <w:pPr>
        <w:pStyle w:val="a4"/>
        <w:shd w:val="clear" w:color="auto" w:fill="FFFFFF"/>
        <w:ind w:leftChars="0" w:left="426"/>
        <w:rPr>
          <w:rFonts w:asciiTheme="majorEastAsia" w:eastAsiaTheme="majorEastAsia" w:hAnsiTheme="majorEastAsia"/>
          <w:lang w:eastAsia="zh-TW"/>
        </w:rPr>
      </w:pPr>
      <w:r w:rsidRPr="00D819BF">
        <w:rPr>
          <w:rFonts w:asciiTheme="majorEastAsia" w:eastAsiaTheme="majorEastAsia" w:hAnsiTheme="majorEastAsia" w:hint="eastAsia"/>
          <w:lang w:eastAsia="zh-TW"/>
        </w:rPr>
        <w:t>每年的</w:t>
      </w:r>
      <w:r w:rsidRPr="00D819BF">
        <w:rPr>
          <w:rFonts w:asciiTheme="majorEastAsia" w:eastAsiaTheme="majorEastAsia" w:hAnsiTheme="majorEastAsia"/>
          <w:lang w:eastAsia="zh-TW"/>
        </w:rPr>
        <w:t>4</w:t>
      </w:r>
      <w:r w:rsidRPr="00D819BF">
        <w:rPr>
          <w:rFonts w:asciiTheme="majorEastAsia" w:eastAsiaTheme="majorEastAsia" w:hAnsiTheme="majorEastAsia" w:hint="eastAsia"/>
          <w:lang w:eastAsia="zh-TW"/>
        </w:rPr>
        <w:t>月</w:t>
      </w:r>
      <w:r w:rsidRPr="00D819BF">
        <w:rPr>
          <w:rFonts w:asciiTheme="majorEastAsia" w:eastAsiaTheme="majorEastAsia" w:hAnsiTheme="majorEastAsia"/>
          <w:lang w:eastAsia="zh-TW"/>
        </w:rPr>
        <w:t>23</w:t>
      </w:r>
      <w:r w:rsidRPr="00D819BF">
        <w:rPr>
          <w:rFonts w:asciiTheme="majorEastAsia" w:eastAsiaTheme="majorEastAsia" w:hAnsiTheme="majorEastAsia" w:hint="eastAsia"/>
          <w:lang w:eastAsia="zh-TW"/>
        </w:rPr>
        <w:t>日為</w:t>
      </w:r>
      <w:r w:rsidRPr="00D819BF">
        <w:rPr>
          <w:rFonts w:asciiTheme="majorEastAsia" w:eastAsiaTheme="majorEastAsia" w:hAnsiTheme="majorEastAsia"/>
          <w:lang w:eastAsia="zh-TW"/>
        </w:rPr>
        <w:t>“</w:t>
      </w:r>
      <w:r w:rsidRPr="00D819BF">
        <w:rPr>
          <w:rFonts w:asciiTheme="majorEastAsia" w:eastAsiaTheme="majorEastAsia" w:hAnsiTheme="majorEastAsia" w:hint="eastAsia"/>
          <w:lang w:eastAsia="zh-TW"/>
        </w:rPr>
        <w:t>世界閱讀日</w:t>
      </w:r>
      <w:r w:rsidRPr="00D819BF">
        <w:rPr>
          <w:rFonts w:asciiTheme="majorEastAsia" w:eastAsiaTheme="majorEastAsia" w:hAnsiTheme="majorEastAsia"/>
          <w:lang w:eastAsia="zh-TW"/>
        </w:rPr>
        <w:t>”</w:t>
      </w:r>
      <w:r w:rsidRPr="00D819BF">
        <w:rPr>
          <w:rFonts w:asciiTheme="majorEastAsia" w:eastAsiaTheme="majorEastAsia" w:hAnsiTheme="majorEastAsia" w:hint="eastAsia"/>
          <w:lang w:eastAsia="zh-TW"/>
        </w:rPr>
        <w:t>。為持續推動社會閱讀風氣，培養閱讀習慣，文化局及教育暨青年局聯合主辦、澳門高校圖書館聯盟協辦之澳門首屆</w:t>
      </w:r>
      <w:r w:rsidRPr="00D819BF">
        <w:rPr>
          <w:rFonts w:asciiTheme="majorEastAsia" w:eastAsiaTheme="majorEastAsia" w:hAnsiTheme="majorEastAsia"/>
          <w:lang w:eastAsia="zh-TW"/>
        </w:rPr>
        <w:t>“4‧23</w:t>
      </w:r>
      <w:r w:rsidRPr="00D819BF">
        <w:rPr>
          <w:rFonts w:asciiTheme="majorEastAsia" w:eastAsiaTheme="majorEastAsia" w:hAnsiTheme="majorEastAsia" w:hint="eastAsia"/>
          <w:lang w:eastAsia="zh-TW"/>
        </w:rPr>
        <w:t>全城共讀</w:t>
      </w:r>
      <w:r w:rsidRPr="00D819BF">
        <w:rPr>
          <w:rFonts w:asciiTheme="majorEastAsia" w:eastAsiaTheme="majorEastAsia" w:hAnsiTheme="majorEastAsia"/>
          <w:lang w:eastAsia="zh-TW"/>
        </w:rPr>
        <w:t>”</w:t>
      </w:r>
      <w:r w:rsidRPr="00D819BF">
        <w:rPr>
          <w:rFonts w:asciiTheme="majorEastAsia" w:eastAsiaTheme="majorEastAsia" w:hAnsiTheme="majorEastAsia" w:hint="eastAsia"/>
          <w:lang w:eastAsia="zh-TW"/>
        </w:rPr>
        <w:t>活動將於今年</w:t>
      </w:r>
      <w:r w:rsidRPr="00D819BF">
        <w:rPr>
          <w:rFonts w:asciiTheme="majorEastAsia" w:eastAsiaTheme="majorEastAsia" w:hAnsiTheme="majorEastAsia"/>
          <w:lang w:eastAsia="zh-TW"/>
        </w:rPr>
        <w:t>4</w:t>
      </w:r>
      <w:r w:rsidRPr="00D819BF">
        <w:rPr>
          <w:rFonts w:asciiTheme="majorEastAsia" w:eastAsiaTheme="majorEastAsia" w:hAnsiTheme="majorEastAsia" w:hint="eastAsia"/>
          <w:lang w:eastAsia="zh-TW"/>
        </w:rPr>
        <w:t>月</w:t>
      </w:r>
      <w:r w:rsidRPr="00D819BF">
        <w:rPr>
          <w:rFonts w:asciiTheme="majorEastAsia" w:eastAsiaTheme="majorEastAsia" w:hAnsiTheme="majorEastAsia"/>
          <w:lang w:eastAsia="zh-TW"/>
        </w:rPr>
        <w:t>23</w:t>
      </w:r>
      <w:r w:rsidR="00D819BF">
        <w:rPr>
          <w:rFonts w:asciiTheme="majorEastAsia" w:eastAsiaTheme="majorEastAsia" w:hAnsiTheme="majorEastAsia" w:hint="eastAsia"/>
          <w:lang w:eastAsia="zh-TW"/>
        </w:rPr>
        <w:t>日舉</w:t>
      </w:r>
      <w:r w:rsidR="00D819BF">
        <w:rPr>
          <w:rFonts w:asciiTheme="majorEastAsia" w:eastAsiaTheme="majorEastAsia" w:hAnsiTheme="majorEastAsia" w:hint="eastAsia"/>
          <w:lang w:eastAsia="zh-HK"/>
        </w:rPr>
        <w:t>，</w:t>
      </w:r>
      <w:r w:rsidRPr="00D819BF">
        <w:rPr>
          <w:rFonts w:asciiTheme="majorEastAsia" w:eastAsiaTheme="majorEastAsia" w:hAnsiTheme="majorEastAsia" w:hint="eastAsia"/>
          <w:lang w:eastAsia="zh-TW"/>
        </w:rPr>
        <w:t>為加強全城共讀的聯動效應，讓閱讀無處不在，主辦單位鼓勵有興趣於</w:t>
      </w:r>
      <w:r w:rsidRPr="00D819BF">
        <w:rPr>
          <w:rFonts w:asciiTheme="majorEastAsia" w:eastAsiaTheme="majorEastAsia" w:hAnsiTheme="majorEastAsia"/>
          <w:lang w:eastAsia="zh-TW"/>
        </w:rPr>
        <w:t>4</w:t>
      </w:r>
      <w:r w:rsidRPr="00D819BF">
        <w:rPr>
          <w:rFonts w:asciiTheme="majorEastAsia" w:eastAsiaTheme="majorEastAsia" w:hAnsiTheme="majorEastAsia" w:hint="eastAsia"/>
          <w:lang w:eastAsia="zh-TW"/>
        </w:rPr>
        <w:t>月</w:t>
      </w:r>
      <w:r w:rsidRPr="00D819BF">
        <w:rPr>
          <w:rFonts w:asciiTheme="majorEastAsia" w:eastAsiaTheme="majorEastAsia" w:hAnsiTheme="majorEastAsia"/>
          <w:lang w:eastAsia="zh-TW"/>
        </w:rPr>
        <w:t>23</w:t>
      </w:r>
      <w:r w:rsidRPr="00D819BF">
        <w:rPr>
          <w:rFonts w:asciiTheme="majorEastAsia" w:eastAsiaTheme="majorEastAsia" w:hAnsiTheme="majorEastAsia" w:hint="eastAsia"/>
          <w:lang w:eastAsia="zh-TW"/>
        </w:rPr>
        <w:t>日自發組織閱讀活動的單位成為</w:t>
      </w:r>
      <w:r w:rsidRPr="00D819BF">
        <w:rPr>
          <w:rFonts w:asciiTheme="majorEastAsia" w:eastAsiaTheme="majorEastAsia" w:hAnsiTheme="majorEastAsia"/>
          <w:lang w:eastAsia="zh-TW"/>
        </w:rPr>
        <w:t>“</w:t>
      </w:r>
      <w:r w:rsidRPr="00D819BF">
        <w:rPr>
          <w:rFonts w:asciiTheme="majorEastAsia" w:eastAsiaTheme="majorEastAsia" w:hAnsiTheme="majorEastAsia" w:hint="eastAsia"/>
          <w:lang w:eastAsia="zh-TW"/>
        </w:rPr>
        <w:t>共讀點</w:t>
      </w:r>
      <w:r w:rsidRPr="00D819BF">
        <w:rPr>
          <w:rFonts w:asciiTheme="majorEastAsia" w:eastAsiaTheme="majorEastAsia" w:hAnsiTheme="majorEastAsia"/>
          <w:lang w:eastAsia="zh-TW"/>
        </w:rPr>
        <w:t>”</w:t>
      </w:r>
      <w:r w:rsidRPr="00D819BF">
        <w:rPr>
          <w:rFonts w:asciiTheme="majorEastAsia" w:eastAsiaTheme="majorEastAsia" w:hAnsiTheme="majorEastAsia" w:hint="eastAsia"/>
          <w:lang w:eastAsia="zh-TW"/>
        </w:rPr>
        <w:t>之一，在世界閱讀日當天舉辦與閱讀有關的活動，形式不限，活動亦可因應實際需要，於戶外、公共空間或其他場所進行。參加單位需於活動結束後，以電郵形式向澳門公共圖書館提交活動照片及實際參加人數。是次活動亦將聯動廣州、深圳及香港於同一時段舉行粵港澳“共讀半小時”閱讀活動，以閱讀打破地域界限，加強閱讀文化交流。</w:t>
      </w:r>
    </w:p>
    <w:p w:rsidR="00D819BF" w:rsidRPr="00144381" w:rsidRDefault="00D819BF" w:rsidP="00144381">
      <w:pPr>
        <w:shd w:val="clear" w:color="auto" w:fill="FFFFFF"/>
        <w:rPr>
          <w:rFonts w:asciiTheme="majorEastAsia" w:eastAsiaTheme="majorEastAsia" w:hAnsiTheme="majorEastAsia"/>
          <w:lang w:eastAsia="zh-TW"/>
        </w:rPr>
      </w:pPr>
    </w:p>
    <w:p w:rsidR="00316A88" w:rsidRPr="00A62683" w:rsidRDefault="00316A88" w:rsidP="006A2983">
      <w:pPr>
        <w:pStyle w:val="a4"/>
        <w:numPr>
          <w:ilvl w:val="0"/>
          <w:numId w:val="8"/>
        </w:numPr>
        <w:ind w:leftChars="0"/>
        <w:rPr>
          <w:rFonts w:asciiTheme="majorEastAsia" w:eastAsiaTheme="majorEastAsia" w:hAnsiTheme="majorEastAsia"/>
          <w:b/>
          <w:lang w:eastAsia="zh-TW"/>
        </w:rPr>
      </w:pPr>
      <w:r w:rsidRPr="00506B0F">
        <w:rPr>
          <w:rFonts w:asciiTheme="majorEastAsia" w:eastAsiaTheme="majorEastAsia" w:hAnsiTheme="majorEastAsia" w:hint="eastAsia"/>
          <w:b/>
          <w:lang w:eastAsia="zh-TW"/>
        </w:rPr>
        <w:t>聯盟參與活動</w:t>
      </w:r>
    </w:p>
    <w:p w:rsidR="00B91176" w:rsidRDefault="00B91176" w:rsidP="00B91176">
      <w:pPr>
        <w:pStyle w:val="a4"/>
        <w:shd w:val="clear" w:color="auto" w:fill="FFFFFF"/>
        <w:spacing w:before="100" w:beforeAutospacing="1" w:after="100" w:afterAutospacing="1" w:line="360" w:lineRule="atLeast"/>
        <w:ind w:leftChars="0"/>
        <w:rPr>
          <w:rFonts w:ascii="新細明體" w:eastAsia="新細明體" w:hAnsi="新細明體" w:cs="Times New Roman"/>
          <w:b/>
          <w:color w:val="000000"/>
          <w:sz w:val="22"/>
          <w:szCs w:val="22"/>
          <w:lang w:eastAsia="zh-TW"/>
        </w:rPr>
      </w:pPr>
      <w:r w:rsidRPr="00B91176">
        <w:rPr>
          <w:rFonts w:ascii="新細明體" w:eastAsia="新細明體" w:hAnsi="新細明體" w:cs="Times New Roman" w:hint="eastAsia"/>
          <w:b/>
          <w:color w:val="000000"/>
          <w:sz w:val="22"/>
          <w:szCs w:val="22"/>
          <w:lang w:eastAsia="zh-TW"/>
        </w:rPr>
        <w:t>2019</w:t>
      </w:r>
      <w:r w:rsidRPr="00B91176">
        <w:rPr>
          <w:rFonts w:ascii="新細明體" w:eastAsia="新細明體" w:hAnsi="新細明體" w:cs="Times New Roman"/>
          <w:b/>
          <w:color w:val="000000"/>
          <w:sz w:val="22"/>
          <w:szCs w:val="22"/>
          <w:lang w:eastAsia="zh-TW"/>
        </w:rPr>
        <w:t xml:space="preserve"> </w:t>
      </w:r>
      <w:r w:rsidRPr="00B91176">
        <w:rPr>
          <w:rFonts w:ascii="新細明體" w:eastAsia="新細明體" w:hAnsi="新細明體" w:cs="Times New Roman" w:hint="eastAsia"/>
          <w:b/>
          <w:color w:val="000000"/>
          <w:sz w:val="22"/>
          <w:szCs w:val="22"/>
          <w:lang w:eastAsia="zh-TW"/>
        </w:rPr>
        <w:t>IFLA</w:t>
      </w:r>
      <w:r w:rsidRPr="00B91176">
        <w:rPr>
          <w:rFonts w:ascii="新細明體" w:eastAsia="新細明體" w:hAnsi="新細明體" w:cs="Times New Roman" w:hint="eastAsia"/>
          <w:b/>
          <w:color w:val="000000"/>
          <w:sz w:val="22"/>
          <w:szCs w:val="22"/>
          <w:lang w:eastAsia="zh-TW"/>
        </w:rPr>
        <w:t>世界圖書館與信息大會</w:t>
      </w:r>
    </w:p>
    <w:p w:rsidR="007B4D70" w:rsidRDefault="007B4D70" w:rsidP="00B91176">
      <w:pPr>
        <w:pStyle w:val="a4"/>
        <w:shd w:val="clear" w:color="auto" w:fill="FFFFFF"/>
        <w:spacing w:before="100" w:beforeAutospacing="1" w:after="100" w:afterAutospacing="1" w:line="360" w:lineRule="atLeast"/>
        <w:ind w:leftChars="0"/>
        <w:rPr>
          <w:rFonts w:ascii="新細明體" w:eastAsia="新細明體" w:hAnsi="新細明體" w:cs="Times New Roman"/>
          <w:color w:val="000000"/>
          <w:sz w:val="22"/>
          <w:szCs w:val="22"/>
          <w:lang w:eastAsia="zh-TW"/>
        </w:rPr>
      </w:pPr>
      <w:r w:rsidRPr="00B91176">
        <w:rPr>
          <w:rFonts w:ascii="新細明體" w:eastAsia="新細明體" w:hAnsi="新細明體" w:cs="Times New Roman" w:hint="eastAsia"/>
          <w:color w:val="000000"/>
          <w:sz w:val="22"/>
          <w:szCs w:val="22"/>
          <w:lang w:eastAsia="zh-TW"/>
        </w:rPr>
        <w:t>澳門高校圖書館聯盟代表於8月23至30日赴希臘雅典參加了第85屆國際圖書館協會聯盟舉辦的世界圖書館與信息大會，是次活動的主題為「圖書館 : 通過對話促進變革」，共有3000多名代表出席，200多場講座，500多位主講嘉賓，198份論</w:t>
      </w:r>
      <w:r w:rsidRPr="00B91176">
        <w:rPr>
          <w:rFonts w:ascii="新細明體" w:eastAsia="新細明體" w:hAnsi="新細明體" w:cs="Times New Roman" w:hint="eastAsia"/>
          <w:color w:val="000000"/>
          <w:sz w:val="22"/>
          <w:szCs w:val="22"/>
          <w:lang w:eastAsia="zh-TW"/>
        </w:rPr>
        <w:lastRenderedPageBreak/>
        <w:t>文與海報展示。是次會議得到澳門高等教育基金資助部分經費，並由澳門圖書館暨資訊管理協會協調組織。是次澳門地區共有13名代表參與，分別來自澳門大學圖書館﹑澳門旅遊學院圖書館﹑澳門城市大學圖書館及聖若瑟大學圖書館等代表。其中澳大圖書館五位代表及澳門旅遊學院圖書館一位代表在國際圖書館協會聯盟各專業委員會當選任職委員，任期從2019年至2023年。本次年會正值2019年-2024年戰略規劃啟動，大會上下討論的都是面向未來的發展趨勢問題。新戰略目標是“建設強大的、團結的圖書館事業，促進社會有素養、有知識、可參與社會的形成”，使命是“圖書館界應著力於提升、參與、賦能並連接”。四個戰略方向為：一、提升全球圖書館話語權，二、激勵和提升專業能力，三、連接並為職業賦能，四、達成組織的合理化目標。此外，澳門圖書館暨資訊管理協會同時參加了年會的專題海報設計大賽，主題為「公共圖書館與公共衛生 : 意想不到的合作關係」，同時代表團更走訪了希臘國家圖書館，雅典大學哲學圖書館，雅典斯塔夫羅斯 - 尼亞爾霍斯文化中心等。代表團團長吳建中表示︰「代表團全體成員參會期間不僅深入到各個會場聽取報告，而且加強與海內外代表之間的聯繫，尤其是通過出席中文語言代表預備會議和葡萄牙語言代表預備會議，加深了與內地圖書館界和葡語國家圖書館界之間的交流。澳門各大學圖書館正處於轉型發展時期，這樣的交流既有益於拓展合作，又有益於自身發展」。</w:t>
      </w:r>
    </w:p>
    <w:p w:rsidR="00B91176" w:rsidRDefault="00B91176" w:rsidP="00B91176">
      <w:pPr>
        <w:pStyle w:val="a4"/>
        <w:shd w:val="clear" w:color="auto" w:fill="FFFFFF"/>
        <w:spacing w:before="100" w:beforeAutospacing="1" w:after="100" w:afterAutospacing="1" w:line="360" w:lineRule="atLeast"/>
        <w:rPr>
          <w:rFonts w:ascii="新細明體" w:eastAsia="新細明體" w:hAnsi="新細明體" w:cs="Times New Roman"/>
          <w:b/>
          <w:color w:val="000000"/>
          <w:sz w:val="22"/>
          <w:szCs w:val="22"/>
          <w:lang w:eastAsia="zh-TW"/>
        </w:rPr>
      </w:pPr>
      <w:r w:rsidRPr="00B91176">
        <w:rPr>
          <w:rFonts w:ascii="新細明體" w:eastAsia="新細明體" w:hAnsi="新細明體" w:cs="Times New Roman"/>
          <w:b/>
          <w:color w:val="000000"/>
          <w:sz w:val="22"/>
          <w:szCs w:val="22"/>
          <w:lang w:eastAsia="zh-TW"/>
        </w:rPr>
        <w:t>2019</w:t>
      </w:r>
      <w:r w:rsidRPr="00B91176">
        <w:rPr>
          <w:rFonts w:ascii="新細明體" w:eastAsia="新細明體" w:hAnsi="新細明體" w:cs="Times New Roman" w:hint="eastAsia"/>
          <w:b/>
          <w:color w:val="000000"/>
          <w:sz w:val="22"/>
          <w:szCs w:val="22"/>
          <w:lang w:eastAsia="zh-TW"/>
        </w:rPr>
        <w:t>年粵港澳高校圖書館聯盟工作會議在廣東清遠召開</w:t>
      </w:r>
    </w:p>
    <w:p w:rsidR="00B91176" w:rsidRPr="00B91176" w:rsidRDefault="00B91176" w:rsidP="00B91176">
      <w:pPr>
        <w:pStyle w:val="a4"/>
        <w:shd w:val="clear" w:color="auto" w:fill="FFFFFF"/>
        <w:spacing w:before="100" w:beforeAutospacing="1" w:after="100" w:afterAutospacing="1" w:line="360" w:lineRule="atLeast"/>
        <w:rPr>
          <w:rFonts w:ascii="新細明體" w:eastAsia="SimSun" w:hAnsi="新細明體" w:cs="Times New Roman"/>
          <w:color w:val="000000"/>
          <w:sz w:val="22"/>
          <w:szCs w:val="22"/>
          <w:lang w:eastAsia="zh-CN"/>
        </w:rPr>
      </w:pPr>
      <w:r>
        <w:rPr>
          <w:rFonts w:ascii="新細明體" w:eastAsia="新細明體" w:hAnsi="新細明體" w:cs="Times New Roman" w:hint="eastAsia"/>
          <w:color w:val="000000"/>
          <w:sz w:val="22"/>
          <w:szCs w:val="22"/>
          <w:lang w:eastAsia="zh-TW"/>
        </w:rPr>
        <w:t>2019</w:t>
      </w:r>
      <w:r>
        <w:rPr>
          <w:rFonts w:ascii="新細明體" w:eastAsia="新細明體" w:hAnsi="新細明體" w:cs="Times New Roman" w:hint="eastAsia"/>
          <w:color w:val="000000"/>
          <w:sz w:val="22"/>
          <w:szCs w:val="22"/>
          <w:lang w:eastAsia="zh-HK"/>
        </w:rPr>
        <w:t>年</w:t>
      </w:r>
      <w:r w:rsidRPr="00B91176">
        <w:rPr>
          <w:rFonts w:ascii="新細明體" w:eastAsia="新細明體" w:hAnsi="新細明體" w:cs="Times New Roman"/>
          <w:color w:val="000000"/>
          <w:sz w:val="22"/>
          <w:szCs w:val="22"/>
          <w:lang w:eastAsia="zh-TW"/>
        </w:rPr>
        <w:t>5</w:t>
      </w:r>
      <w:r w:rsidRPr="00B91176">
        <w:rPr>
          <w:rFonts w:ascii="新細明體" w:eastAsia="新細明體" w:hAnsi="新細明體" w:cs="Times New Roman" w:hint="eastAsia"/>
          <w:color w:val="000000"/>
          <w:sz w:val="22"/>
          <w:szCs w:val="22"/>
          <w:lang w:eastAsia="zh-TW"/>
        </w:rPr>
        <w:t>月</w:t>
      </w:r>
      <w:r w:rsidRPr="00B91176">
        <w:rPr>
          <w:rFonts w:ascii="新細明體" w:eastAsia="新細明體" w:hAnsi="新細明體" w:cs="Times New Roman"/>
          <w:color w:val="000000"/>
          <w:sz w:val="22"/>
          <w:szCs w:val="22"/>
          <w:lang w:eastAsia="zh-TW"/>
        </w:rPr>
        <w:t>24</w:t>
      </w:r>
      <w:r w:rsidRPr="00B91176">
        <w:rPr>
          <w:rFonts w:ascii="新細明體" w:eastAsia="新細明體" w:hAnsi="新細明體" w:cs="Times New Roman" w:hint="eastAsia"/>
          <w:color w:val="000000"/>
          <w:sz w:val="22"/>
          <w:szCs w:val="22"/>
          <w:lang w:eastAsia="zh-TW"/>
        </w:rPr>
        <w:t>日，“</w:t>
      </w:r>
      <w:r w:rsidRPr="00B91176">
        <w:rPr>
          <w:rFonts w:ascii="新細明體" w:eastAsia="新細明體" w:hAnsi="新細明體" w:cs="Times New Roman"/>
          <w:color w:val="000000"/>
          <w:sz w:val="22"/>
          <w:szCs w:val="22"/>
          <w:lang w:eastAsia="zh-TW"/>
        </w:rPr>
        <w:t>2019</w:t>
      </w:r>
      <w:r w:rsidRPr="00B91176">
        <w:rPr>
          <w:rFonts w:ascii="新細明體" w:eastAsia="新細明體" w:hAnsi="新細明體" w:cs="Times New Roman" w:hint="eastAsia"/>
          <w:color w:val="000000"/>
          <w:sz w:val="22"/>
          <w:szCs w:val="22"/>
          <w:lang w:eastAsia="zh-TW"/>
        </w:rPr>
        <w:t>年粵港澳高校圖書館聯盟工作會議”在廣東清遠召開。粵港澳高校圖書館聯盟（以下簡稱聯盟）理事長、我校文獻與文化遺產管理部主任程煥文，聯盟副理事長、香港中文大學圖書館館長李露絲，聯盟副理事長、澳門大學圖書館館長吳建中，以及</w:t>
      </w:r>
      <w:r w:rsidRPr="00B91176">
        <w:rPr>
          <w:rFonts w:ascii="新細明體" w:eastAsia="新細明體" w:hAnsi="新細明體" w:cs="Times New Roman"/>
          <w:color w:val="000000"/>
          <w:sz w:val="22"/>
          <w:szCs w:val="22"/>
          <w:lang w:eastAsia="zh-TW"/>
        </w:rPr>
        <w:t>28</w:t>
      </w:r>
      <w:r w:rsidRPr="00B91176">
        <w:rPr>
          <w:rFonts w:ascii="新細明體" w:eastAsia="新細明體" w:hAnsi="新細明體" w:cs="Times New Roman" w:hint="eastAsia"/>
          <w:color w:val="000000"/>
          <w:sz w:val="22"/>
          <w:szCs w:val="22"/>
          <w:lang w:eastAsia="zh-TW"/>
        </w:rPr>
        <w:t>家成員館的館長和館員共</w:t>
      </w:r>
      <w:r w:rsidRPr="00B91176">
        <w:rPr>
          <w:rFonts w:ascii="新細明體" w:eastAsia="新細明體" w:hAnsi="新細明體" w:cs="Times New Roman"/>
          <w:color w:val="000000"/>
          <w:sz w:val="22"/>
          <w:szCs w:val="22"/>
          <w:lang w:eastAsia="zh-TW"/>
        </w:rPr>
        <w:t>86</w:t>
      </w:r>
      <w:r w:rsidRPr="00B91176">
        <w:rPr>
          <w:rFonts w:ascii="新細明體" w:eastAsia="新細明體" w:hAnsi="新細明體" w:cs="Times New Roman" w:hint="eastAsia"/>
          <w:color w:val="000000"/>
          <w:sz w:val="22"/>
          <w:szCs w:val="22"/>
          <w:lang w:eastAsia="zh-TW"/>
        </w:rPr>
        <w:t>人出席了本次會議。程煥文理事長簡述聯盟的發展與展望。粵港澳高校圖書館聯盟是粵港澳高校聯盟中最早成立的子聯盟，目前共有成員館</w:t>
      </w:r>
      <w:r w:rsidRPr="00B91176">
        <w:rPr>
          <w:rFonts w:ascii="新細明體" w:eastAsia="新細明體" w:hAnsi="新細明體" w:cs="Times New Roman"/>
          <w:color w:val="000000"/>
          <w:sz w:val="22"/>
          <w:szCs w:val="22"/>
          <w:lang w:eastAsia="zh-TW"/>
        </w:rPr>
        <w:t>28</w:t>
      </w:r>
      <w:r w:rsidRPr="00B91176">
        <w:rPr>
          <w:rFonts w:ascii="新細明體" w:eastAsia="新細明體" w:hAnsi="新細明體" w:cs="Times New Roman" w:hint="eastAsia"/>
          <w:color w:val="000000"/>
          <w:sz w:val="22"/>
          <w:szCs w:val="22"/>
          <w:lang w:eastAsia="zh-TW"/>
        </w:rPr>
        <w:t>家，廣東</w:t>
      </w:r>
      <w:r w:rsidRPr="00B91176">
        <w:rPr>
          <w:rFonts w:ascii="新細明體" w:eastAsia="新細明體" w:hAnsi="新細明體" w:cs="Times New Roman"/>
          <w:color w:val="000000"/>
          <w:sz w:val="22"/>
          <w:szCs w:val="22"/>
          <w:lang w:eastAsia="zh-TW"/>
        </w:rPr>
        <w:t>12</w:t>
      </w:r>
      <w:r w:rsidRPr="00B91176">
        <w:rPr>
          <w:rFonts w:ascii="新細明體" w:eastAsia="新細明體" w:hAnsi="新細明體" w:cs="Times New Roman" w:hint="eastAsia"/>
          <w:color w:val="000000"/>
          <w:sz w:val="22"/>
          <w:szCs w:val="22"/>
          <w:lang w:eastAsia="zh-TW"/>
        </w:rPr>
        <w:t>家，香港</w:t>
      </w:r>
      <w:r w:rsidRPr="00B91176">
        <w:rPr>
          <w:rFonts w:ascii="新細明體" w:eastAsia="新細明體" w:hAnsi="新細明體" w:cs="Times New Roman"/>
          <w:color w:val="000000"/>
          <w:sz w:val="22"/>
          <w:szCs w:val="22"/>
          <w:lang w:eastAsia="zh-TW"/>
        </w:rPr>
        <w:t>9</w:t>
      </w:r>
      <w:r w:rsidRPr="00B91176">
        <w:rPr>
          <w:rFonts w:ascii="新細明體" w:eastAsia="新細明體" w:hAnsi="新細明體" w:cs="Times New Roman" w:hint="eastAsia"/>
          <w:color w:val="000000"/>
          <w:sz w:val="22"/>
          <w:szCs w:val="22"/>
          <w:lang w:eastAsia="zh-TW"/>
        </w:rPr>
        <w:t>家，澳門</w:t>
      </w:r>
      <w:r w:rsidRPr="00B91176">
        <w:rPr>
          <w:rFonts w:ascii="新細明體" w:eastAsia="新細明體" w:hAnsi="新細明體" w:cs="Times New Roman"/>
          <w:color w:val="000000"/>
          <w:sz w:val="22"/>
          <w:szCs w:val="22"/>
          <w:lang w:eastAsia="zh-TW"/>
        </w:rPr>
        <w:t>7</w:t>
      </w:r>
      <w:r w:rsidRPr="00B91176">
        <w:rPr>
          <w:rFonts w:ascii="新細明體" w:eastAsia="新細明體" w:hAnsi="新細明體" w:cs="Times New Roman" w:hint="eastAsia"/>
          <w:color w:val="000000"/>
          <w:sz w:val="22"/>
          <w:szCs w:val="22"/>
          <w:lang w:eastAsia="zh-TW"/>
        </w:rPr>
        <w:t>家。成員館擬在文獻傳遞、館員交流與培訓、學術會議等領域建立合作關係。他指出，在《綱要》的推動下，粵港澳高校圖書館的合作將更緊密和深入。李露絲副理事長介紹了“香港特別行政區大學圖書館長聯席會”的發展和合作，吳建中副理事長對“澳門高校圖書館聯盟”成立的模式和內容作簡介，他們對聯盟的發展提出可行性建議。本次會議切實推進了聯盟協定中的各項合作，促進了成員館之間的交流。未來聯盟將積極回應《綱要》的檔精神和要求，依託各地成員館的資源優勢和服務特色，發揮文化引領作用，共同推進粵港澳高校圖書館事業的發展。</w:t>
      </w:r>
    </w:p>
    <w:p w:rsidR="00B91176" w:rsidRPr="00B91176" w:rsidRDefault="00B91176" w:rsidP="00B91176">
      <w:pPr>
        <w:pStyle w:val="a4"/>
        <w:shd w:val="clear" w:color="auto" w:fill="FFFFFF"/>
        <w:spacing w:before="100" w:beforeAutospacing="1" w:after="100" w:afterAutospacing="1" w:line="360" w:lineRule="atLeast"/>
        <w:rPr>
          <w:rFonts w:ascii="新細明體" w:eastAsia="SimSun" w:hAnsi="新細明體" w:cs="Times New Roman" w:hint="eastAsia"/>
          <w:color w:val="000000"/>
          <w:sz w:val="22"/>
          <w:szCs w:val="22"/>
          <w:lang w:eastAsia="zh-CN"/>
        </w:rPr>
      </w:pPr>
    </w:p>
    <w:p w:rsidR="00B91176" w:rsidRPr="00B91176" w:rsidRDefault="00B91176" w:rsidP="00B91176">
      <w:pPr>
        <w:pStyle w:val="a4"/>
        <w:shd w:val="clear" w:color="auto" w:fill="FFFFFF"/>
        <w:spacing w:before="100" w:beforeAutospacing="1" w:after="100" w:afterAutospacing="1" w:line="360" w:lineRule="atLeast"/>
        <w:ind w:leftChars="0"/>
        <w:rPr>
          <w:rFonts w:ascii="新細明體" w:eastAsia="新細明體" w:hAnsi="新細明體" w:cs="Times New Roman"/>
          <w:b/>
          <w:color w:val="000000"/>
          <w:sz w:val="22"/>
          <w:szCs w:val="22"/>
          <w:lang w:eastAsia="zh-TW"/>
        </w:rPr>
      </w:pPr>
      <w:r w:rsidRPr="00B91176">
        <w:rPr>
          <w:rFonts w:ascii="新細明體" w:eastAsia="新細明體" w:hAnsi="新細明體" w:cs="Times New Roman"/>
          <w:b/>
          <w:color w:val="000000"/>
          <w:sz w:val="22"/>
          <w:szCs w:val="22"/>
          <w:lang w:eastAsia="zh-TW"/>
        </w:rPr>
        <w:t>2019</w:t>
      </w:r>
      <w:r w:rsidRPr="00B91176">
        <w:rPr>
          <w:rFonts w:ascii="新細明體" w:eastAsia="新細明體" w:hAnsi="新細明體" w:cs="Times New Roman" w:hint="eastAsia"/>
          <w:b/>
          <w:color w:val="000000"/>
          <w:sz w:val="22"/>
          <w:szCs w:val="22"/>
          <w:lang w:eastAsia="zh-TW"/>
        </w:rPr>
        <w:t>年粵港澳高校圖書館聯盟青年學者論壇</w:t>
      </w:r>
    </w:p>
    <w:p w:rsidR="00B91176" w:rsidRPr="00B91176" w:rsidRDefault="00B91176" w:rsidP="00B91176">
      <w:pPr>
        <w:pStyle w:val="a4"/>
        <w:shd w:val="clear" w:color="auto" w:fill="FFFFFF"/>
        <w:spacing w:before="100" w:beforeAutospacing="1" w:after="100" w:afterAutospacing="1" w:line="360" w:lineRule="atLeast"/>
        <w:ind w:leftChars="0"/>
        <w:rPr>
          <w:rFonts w:ascii="新細明體" w:eastAsia="SimSun" w:hAnsi="新細明體" w:cs="Times New Roman" w:hint="eastAsia"/>
          <w:color w:val="000000"/>
          <w:sz w:val="22"/>
          <w:szCs w:val="22"/>
          <w:lang w:eastAsia="zh-CN"/>
        </w:rPr>
      </w:pPr>
      <w:r w:rsidRPr="00B91176">
        <w:rPr>
          <w:rFonts w:ascii="新細明體" w:eastAsia="新細明體" w:hAnsi="新細明體" w:cs="Times New Roman"/>
          <w:color w:val="000000"/>
          <w:sz w:val="22"/>
          <w:szCs w:val="22"/>
          <w:lang w:eastAsia="zh-TW"/>
        </w:rPr>
        <w:lastRenderedPageBreak/>
        <w:t>2019</w:t>
      </w:r>
      <w:r w:rsidRPr="00B91176">
        <w:rPr>
          <w:rFonts w:ascii="新細明體" w:eastAsia="新細明體" w:hAnsi="新細明體" w:cs="Times New Roman" w:hint="eastAsia"/>
          <w:color w:val="000000"/>
          <w:sz w:val="22"/>
          <w:szCs w:val="22"/>
          <w:lang w:eastAsia="zh-TW"/>
        </w:rPr>
        <w:t>年</w:t>
      </w:r>
      <w:r w:rsidRPr="00B91176">
        <w:rPr>
          <w:rFonts w:ascii="新細明體" w:eastAsia="新細明體" w:hAnsi="新細明體" w:cs="Times New Roman"/>
          <w:color w:val="000000"/>
          <w:sz w:val="22"/>
          <w:szCs w:val="22"/>
          <w:lang w:eastAsia="zh-TW"/>
        </w:rPr>
        <w:t>10</w:t>
      </w:r>
      <w:r w:rsidRPr="00B91176">
        <w:rPr>
          <w:rFonts w:ascii="新細明體" w:eastAsia="新細明體" w:hAnsi="新細明體" w:cs="Times New Roman" w:hint="eastAsia"/>
          <w:color w:val="000000"/>
          <w:sz w:val="22"/>
          <w:szCs w:val="22"/>
          <w:lang w:eastAsia="zh-TW"/>
        </w:rPr>
        <w:t>月</w:t>
      </w:r>
      <w:r w:rsidRPr="00B91176">
        <w:rPr>
          <w:rFonts w:ascii="新細明體" w:eastAsia="新細明體" w:hAnsi="新細明體" w:cs="Times New Roman"/>
          <w:color w:val="000000"/>
          <w:sz w:val="22"/>
          <w:szCs w:val="22"/>
          <w:lang w:eastAsia="zh-TW"/>
        </w:rPr>
        <w:t>31</w:t>
      </w:r>
      <w:r w:rsidRPr="00B91176">
        <w:rPr>
          <w:rFonts w:ascii="新細明體" w:eastAsia="新細明體" w:hAnsi="新細明體" w:cs="Times New Roman" w:hint="eastAsia"/>
          <w:color w:val="000000"/>
          <w:sz w:val="22"/>
          <w:szCs w:val="22"/>
          <w:lang w:eastAsia="zh-TW"/>
        </w:rPr>
        <w:t>日至</w:t>
      </w:r>
      <w:r w:rsidRPr="00B91176">
        <w:rPr>
          <w:rFonts w:ascii="新細明體" w:eastAsia="新細明體" w:hAnsi="新細明體" w:cs="Times New Roman"/>
          <w:color w:val="000000"/>
          <w:sz w:val="22"/>
          <w:szCs w:val="22"/>
          <w:lang w:eastAsia="zh-TW"/>
        </w:rPr>
        <w:t>11</w:t>
      </w:r>
      <w:r w:rsidRPr="00B91176">
        <w:rPr>
          <w:rFonts w:ascii="新細明體" w:eastAsia="新細明體" w:hAnsi="新細明體" w:cs="Times New Roman" w:hint="eastAsia"/>
          <w:color w:val="000000"/>
          <w:sz w:val="22"/>
          <w:szCs w:val="22"/>
          <w:lang w:eastAsia="zh-TW"/>
        </w:rPr>
        <w:t>月</w:t>
      </w:r>
      <w:r w:rsidRPr="00B91176">
        <w:rPr>
          <w:rFonts w:ascii="新細明體" w:eastAsia="新細明體" w:hAnsi="新細明體" w:cs="Times New Roman"/>
          <w:color w:val="000000"/>
          <w:sz w:val="22"/>
          <w:szCs w:val="22"/>
          <w:lang w:eastAsia="zh-TW"/>
        </w:rPr>
        <w:t>1</w:t>
      </w:r>
      <w:r w:rsidRPr="00B91176">
        <w:rPr>
          <w:rFonts w:ascii="新細明體" w:eastAsia="新細明體" w:hAnsi="新細明體" w:cs="Times New Roman" w:hint="eastAsia"/>
          <w:color w:val="000000"/>
          <w:sz w:val="22"/>
          <w:szCs w:val="22"/>
          <w:lang w:eastAsia="zh-TW"/>
        </w:rPr>
        <w:t>日，</w:t>
      </w:r>
      <w:r w:rsidRPr="00B91176">
        <w:rPr>
          <w:rFonts w:ascii="新細明體" w:eastAsia="新細明體" w:hAnsi="新細明體" w:cs="Times New Roman"/>
          <w:color w:val="000000"/>
          <w:sz w:val="22"/>
          <w:szCs w:val="22"/>
          <w:lang w:eastAsia="zh-TW"/>
        </w:rPr>
        <w:t>2019</w:t>
      </w:r>
      <w:r w:rsidRPr="00B91176">
        <w:rPr>
          <w:rFonts w:ascii="新細明體" w:eastAsia="新細明體" w:hAnsi="新細明體" w:cs="Times New Roman" w:hint="eastAsia"/>
          <w:color w:val="000000"/>
          <w:sz w:val="22"/>
          <w:szCs w:val="22"/>
          <w:lang w:eastAsia="zh-TW"/>
        </w:rPr>
        <w:t>年粵港澳高校圖書館聯盟青年學者論壇在中山大學廣州校區南校園舉辦。作為</w:t>
      </w:r>
      <w:r w:rsidRPr="00B91176">
        <w:rPr>
          <w:rFonts w:ascii="新細明體" w:eastAsia="新細明體" w:hAnsi="新細明體" w:cs="Times New Roman"/>
          <w:color w:val="000000"/>
          <w:sz w:val="22"/>
          <w:szCs w:val="22"/>
          <w:lang w:eastAsia="zh-TW"/>
        </w:rPr>
        <w:t>2019</w:t>
      </w:r>
      <w:r w:rsidRPr="00B91176">
        <w:rPr>
          <w:rFonts w:ascii="新細明體" w:eastAsia="新細明體" w:hAnsi="新細明體" w:cs="Times New Roman" w:hint="eastAsia"/>
          <w:color w:val="000000"/>
          <w:sz w:val="22"/>
          <w:szCs w:val="22"/>
          <w:lang w:eastAsia="zh-TW"/>
        </w:rPr>
        <w:t>年粵港澳高校聯盟青年學者論壇的</w:t>
      </w:r>
      <w:r w:rsidRPr="00B91176">
        <w:rPr>
          <w:rFonts w:ascii="新細明體" w:eastAsia="新細明體" w:hAnsi="新細明體" w:cs="Times New Roman"/>
          <w:color w:val="000000"/>
          <w:sz w:val="22"/>
          <w:szCs w:val="22"/>
          <w:lang w:eastAsia="zh-TW"/>
        </w:rPr>
        <w:t>6</w:t>
      </w:r>
      <w:r w:rsidRPr="00B91176">
        <w:rPr>
          <w:rFonts w:ascii="新細明體" w:eastAsia="新細明體" w:hAnsi="新細明體" w:cs="Times New Roman" w:hint="eastAsia"/>
          <w:color w:val="000000"/>
          <w:sz w:val="22"/>
          <w:szCs w:val="22"/>
          <w:lang w:eastAsia="zh-TW"/>
        </w:rPr>
        <w:t>個分論壇之一，本論壇旨在推進粵港澳高校圖書館資訊共用和科教服務合作</w:t>
      </w:r>
      <w:r>
        <w:rPr>
          <w:rFonts w:ascii="新細明體" w:eastAsia="新細明體" w:hAnsi="新細明體" w:cs="Times New Roman" w:hint="eastAsia"/>
          <w:color w:val="000000"/>
          <w:sz w:val="22"/>
          <w:szCs w:val="22"/>
          <w:lang w:eastAsia="zh-TW"/>
        </w:rPr>
        <w:t>，本次會議有</w:t>
      </w:r>
      <w:r w:rsidRPr="00B91176">
        <w:rPr>
          <w:rFonts w:ascii="新細明體" w:eastAsia="新細明體" w:hAnsi="新細明體" w:cs="Times New Roman"/>
          <w:color w:val="000000"/>
          <w:sz w:val="22"/>
          <w:szCs w:val="22"/>
          <w:lang w:eastAsia="zh-TW"/>
        </w:rPr>
        <w:t>27</w:t>
      </w:r>
      <w:r w:rsidRPr="00B91176">
        <w:rPr>
          <w:rFonts w:ascii="新細明體" w:eastAsia="新細明體" w:hAnsi="新細明體" w:cs="Times New Roman" w:hint="eastAsia"/>
          <w:color w:val="000000"/>
          <w:sz w:val="22"/>
          <w:szCs w:val="22"/>
          <w:lang w:eastAsia="zh-TW"/>
        </w:rPr>
        <w:t>所高校圖書館約</w:t>
      </w:r>
      <w:r w:rsidRPr="00B91176">
        <w:rPr>
          <w:rFonts w:ascii="新細明體" w:eastAsia="新細明體" w:hAnsi="新細明體" w:cs="Times New Roman"/>
          <w:color w:val="000000"/>
          <w:sz w:val="22"/>
          <w:szCs w:val="22"/>
          <w:lang w:eastAsia="zh-TW"/>
        </w:rPr>
        <w:t>60</w:t>
      </w:r>
      <w:r>
        <w:rPr>
          <w:rFonts w:ascii="新細明體" w:eastAsia="新細明體" w:hAnsi="新細明體" w:cs="Times New Roman" w:hint="eastAsia"/>
          <w:color w:val="000000"/>
          <w:sz w:val="22"/>
          <w:szCs w:val="22"/>
          <w:lang w:eastAsia="zh-TW"/>
        </w:rPr>
        <w:t>名青年學者出席，</w:t>
      </w:r>
      <w:r w:rsidRPr="00B91176">
        <w:rPr>
          <w:rFonts w:ascii="新細明體" w:eastAsia="新細明體" w:hAnsi="新細明體" w:cs="Times New Roman" w:hint="eastAsia"/>
          <w:color w:val="000000"/>
          <w:sz w:val="22"/>
          <w:szCs w:val="22"/>
          <w:lang w:eastAsia="zh-TW"/>
        </w:rPr>
        <w:t>分論壇的議題包括三個方面：資訊素養、新技術和數位人文及其他議題等。本次會議為粵港澳高校圖書館青年館員和學者構建了良好的交流和合作平臺，促進了粵港澳大灣區高校圖書館資訊資源分享與共建的經驗交流，為未來進一步的合作打下堅實基礎。</w:t>
      </w:r>
    </w:p>
    <w:p w:rsidR="00B91176" w:rsidRDefault="00B91176" w:rsidP="00B91176">
      <w:pPr>
        <w:pStyle w:val="a4"/>
        <w:shd w:val="clear" w:color="auto" w:fill="FFFFFF"/>
        <w:spacing w:before="100" w:beforeAutospacing="1" w:after="100" w:afterAutospacing="1" w:line="360" w:lineRule="atLeast"/>
        <w:ind w:leftChars="0"/>
        <w:rPr>
          <w:rFonts w:ascii="新細明體" w:eastAsia="新細明體" w:hAnsi="新細明體" w:cs="Times New Roman"/>
          <w:b/>
          <w:color w:val="000000"/>
          <w:sz w:val="22"/>
          <w:szCs w:val="22"/>
          <w:lang w:eastAsia="zh-TW"/>
        </w:rPr>
      </w:pPr>
      <w:r w:rsidRPr="00B91176">
        <w:rPr>
          <w:rFonts w:ascii="新細明體" w:eastAsia="新細明體" w:hAnsi="新細明體" w:cs="Times New Roman"/>
          <w:b/>
          <w:color w:val="000000"/>
          <w:sz w:val="22"/>
          <w:szCs w:val="22"/>
          <w:lang w:eastAsia="zh-TW"/>
        </w:rPr>
        <w:t>2019</w:t>
      </w:r>
      <w:r w:rsidRPr="00B91176">
        <w:rPr>
          <w:rFonts w:ascii="新細明體" w:eastAsia="新細明體" w:hAnsi="新細明體" w:cs="Times New Roman" w:hint="eastAsia"/>
          <w:b/>
          <w:color w:val="000000"/>
          <w:sz w:val="22"/>
          <w:szCs w:val="22"/>
          <w:lang w:eastAsia="zh-TW"/>
        </w:rPr>
        <w:t>年廣東省高等學校圖書情報工作指導委員會工作會議</w:t>
      </w:r>
    </w:p>
    <w:p w:rsidR="00B91176" w:rsidRPr="00984E01" w:rsidRDefault="00984E01" w:rsidP="00B91176">
      <w:pPr>
        <w:pStyle w:val="a4"/>
        <w:shd w:val="clear" w:color="auto" w:fill="FFFFFF"/>
        <w:spacing w:before="100" w:beforeAutospacing="1" w:after="100" w:afterAutospacing="1" w:line="360" w:lineRule="atLeast"/>
        <w:ind w:leftChars="0"/>
        <w:rPr>
          <w:rFonts w:ascii="新細明體" w:eastAsia="新細明體" w:hAnsi="新細明體" w:cs="Times New Roman" w:hint="eastAsia"/>
          <w:color w:val="000000"/>
          <w:sz w:val="22"/>
          <w:szCs w:val="22"/>
          <w:lang w:eastAsia="zh-CN"/>
        </w:rPr>
      </w:pPr>
      <w:r w:rsidRPr="00984E01">
        <w:rPr>
          <w:rFonts w:ascii="新細明體" w:eastAsia="新細明體" w:hAnsi="新細明體" w:cs="Times New Roman"/>
          <w:color w:val="000000"/>
          <w:sz w:val="22"/>
          <w:szCs w:val="22"/>
          <w:lang w:eastAsia="zh-TW"/>
        </w:rPr>
        <w:t>2019</w:t>
      </w:r>
      <w:r w:rsidRPr="00984E01">
        <w:rPr>
          <w:rFonts w:ascii="新細明體" w:eastAsia="新細明體" w:hAnsi="新細明體" w:cs="Times New Roman" w:hint="eastAsia"/>
          <w:color w:val="000000"/>
          <w:sz w:val="22"/>
          <w:szCs w:val="22"/>
          <w:lang w:eastAsia="zh-TW"/>
        </w:rPr>
        <w:t>年</w:t>
      </w:r>
      <w:r w:rsidRPr="00984E01">
        <w:rPr>
          <w:rFonts w:ascii="新細明體" w:eastAsia="新細明體" w:hAnsi="新細明體" w:cs="Times New Roman"/>
          <w:color w:val="000000"/>
          <w:sz w:val="22"/>
          <w:szCs w:val="22"/>
          <w:lang w:eastAsia="zh-TW"/>
        </w:rPr>
        <w:t>12</w:t>
      </w:r>
      <w:r w:rsidRPr="00984E01">
        <w:rPr>
          <w:rFonts w:ascii="新細明體" w:eastAsia="新細明體" w:hAnsi="新細明體" w:cs="Times New Roman" w:hint="eastAsia"/>
          <w:color w:val="000000"/>
          <w:sz w:val="22"/>
          <w:szCs w:val="22"/>
          <w:lang w:eastAsia="zh-TW"/>
        </w:rPr>
        <w:t>月</w:t>
      </w:r>
      <w:r w:rsidRPr="00984E01">
        <w:rPr>
          <w:rFonts w:ascii="新細明體" w:eastAsia="新細明體" w:hAnsi="新細明體" w:cs="Times New Roman"/>
          <w:color w:val="000000"/>
          <w:sz w:val="22"/>
          <w:szCs w:val="22"/>
          <w:lang w:eastAsia="zh-TW"/>
        </w:rPr>
        <w:t>5</w:t>
      </w:r>
      <w:r w:rsidRPr="00984E01">
        <w:rPr>
          <w:rFonts w:ascii="新細明體" w:eastAsia="新細明體" w:hAnsi="新細明體" w:cs="Times New Roman" w:hint="eastAsia"/>
          <w:color w:val="000000"/>
          <w:sz w:val="22"/>
          <w:szCs w:val="22"/>
          <w:lang w:eastAsia="zh-TW"/>
        </w:rPr>
        <w:t>日</w:t>
      </w:r>
      <w:r w:rsidRPr="00984E01">
        <w:rPr>
          <w:rFonts w:ascii="新細明體" w:eastAsia="新細明體" w:hAnsi="新細明體" w:cs="Times New Roman"/>
          <w:color w:val="000000"/>
          <w:sz w:val="22"/>
          <w:szCs w:val="22"/>
          <w:lang w:eastAsia="zh-TW"/>
        </w:rPr>
        <w:t>-7</w:t>
      </w:r>
      <w:r w:rsidRPr="00984E01">
        <w:rPr>
          <w:rFonts w:ascii="新細明體" w:eastAsia="新細明體" w:hAnsi="新細明體" w:cs="Times New Roman" w:hint="eastAsia"/>
          <w:color w:val="000000"/>
          <w:sz w:val="22"/>
          <w:szCs w:val="22"/>
          <w:lang w:eastAsia="zh-TW"/>
        </w:rPr>
        <w:t>日，廣東省高等學校圖書情報工作指導委員會（下稱“廣東省高校圖工委”）工作會議在中山市召開。教育部高等學校圖書情報工作指導委員會主任、北京大學圖書館館長陳建龍，廣東省高校圖工委主任程煥文，澳門大學圖書館館長吳建中、中山大學圖書館館長何文平、副館長林明等省高校圖工委領導及委員、各專業委員會成員等</w:t>
      </w:r>
      <w:r w:rsidRPr="00984E01">
        <w:rPr>
          <w:rFonts w:ascii="新細明體" w:eastAsia="新細明體" w:hAnsi="新細明體" w:cs="Times New Roman"/>
          <w:color w:val="000000"/>
          <w:sz w:val="22"/>
          <w:szCs w:val="22"/>
          <w:lang w:eastAsia="zh-TW"/>
        </w:rPr>
        <w:t>100</w:t>
      </w:r>
      <w:r>
        <w:rPr>
          <w:rFonts w:ascii="新細明體" w:eastAsia="新細明體" w:hAnsi="新細明體" w:cs="Times New Roman" w:hint="eastAsia"/>
          <w:color w:val="000000"/>
          <w:sz w:val="22"/>
          <w:szCs w:val="22"/>
          <w:lang w:eastAsia="zh-HK"/>
        </w:rPr>
        <w:t>餘</w:t>
      </w:r>
      <w:r w:rsidRPr="00984E01">
        <w:rPr>
          <w:rFonts w:ascii="新細明體" w:eastAsia="新細明體" w:hAnsi="新細明體" w:cs="Times New Roman" w:hint="eastAsia"/>
          <w:color w:val="000000"/>
          <w:sz w:val="22"/>
          <w:szCs w:val="22"/>
          <w:lang w:eastAsia="zh-TW"/>
        </w:rPr>
        <w:t>人出席了會議。會上，陳建龍作題為《五年後的大學圖書館》的主旨報告，將大學圖書館建設成為高校人才培養的重要組成部分；程煥文作《廣東省高校圖書館五年發展報告（</w:t>
      </w:r>
      <w:r w:rsidRPr="00984E01">
        <w:rPr>
          <w:rFonts w:ascii="新細明體" w:eastAsia="新細明體" w:hAnsi="新細明體" w:cs="Times New Roman"/>
          <w:color w:val="000000"/>
          <w:sz w:val="22"/>
          <w:szCs w:val="22"/>
          <w:lang w:eastAsia="zh-TW"/>
        </w:rPr>
        <w:t>2014-2018</w:t>
      </w:r>
      <w:r w:rsidRPr="00984E01">
        <w:rPr>
          <w:rFonts w:ascii="新細明體" w:eastAsia="新細明體" w:hAnsi="新細明體" w:cs="Times New Roman" w:hint="eastAsia"/>
          <w:color w:val="000000"/>
          <w:sz w:val="22"/>
          <w:szCs w:val="22"/>
          <w:lang w:eastAsia="zh-TW"/>
        </w:rPr>
        <w:t>年）》，對全省高校圖書館過去五年的成績與不足進行了總結，對經費、文獻資源、人力資源、各項服務和硬體設施等相關資料（有</w:t>
      </w:r>
      <w:r w:rsidRPr="00984E01">
        <w:rPr>
          <w:rFonts w:ascii="新細明體" w:eastAsia="新細明體" w:hAnsi="新細明體" w:cs="Times New Roman"/>
          <w:color w:val="000000"/>
          <w:sz w:val="22"/>
          <w:szCs w:val="22"/>
          <w:lang w:eastAsia="zh-TW"/>
        </w:rPr>
        <w:t>59</w:t>
      </w:r>
      <w:r w:rsidRPr="00984E01">
        <w:rPr>
          <w:rFonts w:ascii="新細明體" w:eastAsia="新細明體" w:hAnsi="新細明體" w:cs="Times New Roman" w:hint="eastAsia"/>
          <w:color w:val="000000"/>
          <w:sz w:val="22"/>
          <w:szCs w:val="22"/>
          <w:lang w:eastAsia="zh-TW"/>
        </w:rPr>
        <w:t>所本科院校、</w:t>
      </w:r>
      <w:r w:rsidRPr="00984E01">
        <w:rPr>
          <w:rFonts w:ascii="新細明體" w:eastAsia="新細明體" w:hAnsi="新細明體" w:cs="Times New Roman"/>
          <w:color w:val="000000"/>
          <w:sz w:val="22"/>
          <w:szCs w:val="22"/>
          <w:lang w:eastAsia="zh-TW"/>
        </w:rPr>
        <w:t>62</w:t>
      </w:r>
      <w:r w:rsidRPr="00984E01">
        <w:rPr>
          <w:rFonts w:ascii="新細明體" w:eastAsia="新細明體" w:hAnsi="新細明體" w:cs="Times New Roman" w:hint="eastAsia"/>
          <w:color w:val="000000"/>
          <w:sz w:val="22"/>
          <w:szCs w:val="22"/>
          <w:lang w:eastAsia="zh-TW"/>
        </w:rPr>
        <w:t>所專科院校圖書館提交了資料）進行了分析。隨後，林明對彙報了</w:t>
      </w:r>
      <w:r w:rsidRPr="00984E01">
        <w:rPr>
          <w:rFonts w:ascii="新細明體" w:eastAsia="新細明體" w:hAnsi="新細明體" w:cs="Times New Roman"/>
          <w:color w:val="000000"/>
          <w:sz w:val="22"/>
          <w:szCs w:val="22"/>
          <w:lang w:eastAsia="zh-TW"/>
        </w:rPr>
        <w:t>2019</w:t>
      </w:r>
      <w:r w:rsidRPr="00984E01">
        <w:rPr>
          <w:rFonts w:ascii="新細明體" w:eastAsia="新細明體" w:hAnsi="新細明體" w:cs="Times New Roman" w:hint="eastAsia"/>
          <w:color w:val="000000"/>
          <w:sz w:val="22"/>
          <w:szCs w:val="22"/>
          <w:lang w:eastAsia="zh-TW"/>
        </w:rPr>
        <w:t>年廣東省高校圖工委的主要工作，各專業委員會主任彙報了</w:t>
      </w:r>
      <w:r w:rsidRPr="00984E01">
        <w:rPr>
          <w:rFonts w:ascii="新細明體" w:eastAsia="新細明體" w:hAnsi="新細明體" w:cs="Times New Roman"/>
          <w:color w:val="000000"/>
          <w:sz w:val="22"/>
          <w:szCs w:val="22"/>
          <w:lang w:eastAsia="zh-TW"/>
        </w:rPr>
        <w:t>2019</w:t>
      </w:r>
      <w:r w:rsidRPr="00984E01">
        <w:rPr>
          <w:rFonts w:ascii="新細明體" w:eastAsia="新細明體" w:hAnsi="新細明體" w:cs="Times New Roman" w:hint="eastAsia"/>
          <w:color w:val="000000"/>
          <w:sz w:val="22"/>
          <w:szCs w:val="22"/>
          <w:lang w:eastAsia="zh-TW"/>
        </w:rPr>
        <w:t>年工作總結與</w:t>
      </w:r>
      <w:r w:rsidRPr="00984E01">
        <w:rPr>
          <w:rFonts w:ascii="新細明體" w:eastAsia="新細明體" w:hAnsi="新細明體" w:cs="Times New Roman"/>
          <w:color w:val="000000"/>
          <w:sz w:val="22"/>
          <w:szCs w:val="22"/>
          <w:lang w:eastAsia="zh-TW"/>
        </w:rPr>
        <w:t>2020</w:t>
      </w:r>
      <w:r w:rsidRPr="00984E01">
        <w:rPr>
          <w:rFonts w:ascii="新細明體" w:eastAsia="新細明體" w:hAnsi="新細明體" w:cs="Times New Roman" w:hint="eastAsia"/>
          <w:color w:val="000000"/>
          <w:sz w:val="22"/>
          <w:szCs w:val="22"/>
          <w:lang w:eastAsia="zh-TW"/>
        </w:rPr>
        <w:t>年計畫。最後，大會產生了新一屆廣東省高校圖工委委員</w:t>
      </w:r>
    </w:p>
    <w:p w:rsidR="00B91176" w:rsidRPr="00B91176" w:rsidRDefault="00B91176" w:rsidP="00B91176">
      <w:pPr>
        <w:pStyle w:val="a4"/>
        <w:shd w:val="clear" w:color="auto" w:fill="FFFFFF"/>
        <w:spacing w:before="100" w:beforeAutospacing="1" w:after="100" w:afterAutospacing="1" w:line="360" w:lineRule="atLeast"/>
        <w:rPr>
          <w:rFonts w:ascii="新細明體" w:eastAsia="新細明體" w:hAnsi="新細明體" w:cs="Times New Roman" w:hint="eastAsia"/>
          <w:b/>
          <w:color w:val="000000"/>
          <w:sz w:val="22"/>
          <w:szCs w:val="22"/>
          <w:lang w:eastAsia="zh-CN"/>
        </w:rPr>
      </w:pPr>
    </w:p>
    <w:p w:rsidR="00B91176" w:rsidRPr="00B91176" w:rsidRDefault="00B91176" w:rsidP="00B91176">
      <w:pPr>
        <w:pStyle w:val="a4"/>
        <w:shd w:val="clear" w:color="auto" w:fill="FFFFFF"/>
        <w:spacing w:before="100" w:beforeAutospacing="1" w:after="100" w:afterAutospacing="1" w:line="360" w:lineRule="atLeast"/>
        <w:ind w:leftChars="0"/>
        <w:rPr>
          <w:rFonts w:ascii="新細明體" w:eastAsia="新細明體" w:hAnsi="新細明體" w:cs="Times New Roman" w:hint="eastAsia"/>
          <w:b/>
          <w:color w:val="000000"/>
          <w:sz w:val="22"/>
          <w:szCs w:val="22"/>
          <w:lang w:eastAsia="zh-CN"/>
        </w:rPr>
      </w:pPr>
      <w:bookmarkStart w:id="0" w:name="_GoBack"/>
      <w:bookmarkEnd w:id="0"/>
    </w:p>
    <w:p w:rsidR="00B05729" w:rsidRPr="00506B0F" w:rsidRDefault="00B05729" w:rsidP="007B4D70">
      <w:pPr>
        <w:rPr>
          <w:rFonts w:asciiTheme="majorEastAsia" w:eastAsiaTheme="majorEastAsia" w:hAnsiTheme="majorEastAsia"/>
          <w:lang w:eastAsia="zh-CN"/>
        </w:rPr>
      </w:pPr>
    </w:p>
    <w:sectPr w:rsidR="00B05729" w:rsidRPr="00506B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74" w:rsidRDefault="007E5D74" w:rsidP="00B10CAC">
      <w:r>
        <w:separator/>
      </w:r>
    </w:p>
  </w:endnote>
  <w:endnote w:type="continuationSeparator" w:id="0">
    <w:p w:rsidR="007E5D74" w:rsidRDefault="007E5D74" w:rsidP="00B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74" w:rsidRDefault="007E5D74" w:rsidP="00B10CAC">
      <w:r>
        <w:separator/>
      </w:r>
    </w:p>
  </w:footnote>
  <w:footnote w:type="continuationSeparator" w:id="0">
    <w:p w:rsidR="007E5D74" w:rsidRDefault="007E5D74" w:rsidP="00B1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C61"/>
    <w:multiLevelType w:val="hybridMultilevel"/>
    <w:tmpl w:val="357E6B1E"/>
    <w:lvl w:ilvl="0" w:tplc="B928A924">
      <w:start w:val="1"/>
      <w:numFmt w:val="bullet"/>
      <w:lvlText w:val=""/>
      <w:lvlJc w:val="left"/>
      <w:pPr>
        <w:tabs>
          <w:tab w:val="num" w:pos="720"/>
        </w:tabs>
        <w:ind w:left="720" w:hanging="360"/>
      </w:pPr>
      <w:rPr>
        <w:rFonts w:ascii="Wingdings" w:hAnsi="Wingdings" w:hint="default"/>
      </w:rPr>
    </w:lvl>
    <w:lvl w:ilvl="1" w:tplc="5E30D134" w:tentative="1">
      <w:start w:val="1"/>
      <w:numFmt w:val="bullet"/>
      <w:lvlText w:val=""/>
      <w:lvlJc w:val="left"/>
      <w:pPr>
        <w:tabs>
          <w:tab w:val="num" w:pos="1440"/>
        </w:tabs>
        <w:ind w:left="1440" w:hanging="360"/>
      </w:pPr>
      <w:rPr>
        <w:rFonts w:ascii="Wingdings" w:hAnsi="Wingdings" w:hint="default"/>
      </w:rPr>
    </w:lvl>
    <w:lvl w:ilvl="2" w:tplc="7926474E" w:tentative="1">
      <w:start w:val="1"/>
      <w:numFmt w:val="bullet"/>
      <w:lvlText w:val=""/>
      <w:lvlJc w:val="left"/>
      <w:pPr>
        <w:tabs>
          <w:tab w:val="num" w:pos="2160"/>
        </w:tabs>
        <w:ind w:left="2160" w:hanging="360"/>
      </w:pPr>
      <w:rPr>
        <w:rFonts w:ascii="Wingdings" w:hAnsi="Wingdings" w:hint="default"/>
      </w:rPr>
    </w:lvl>
    <w:lvl w:ilvl="3" w:tplc="0ADE57E2" w:tentative="1">
      <w:start w:val="1"/>
      <w:numFmt w:val="bullet"/>
      <w:lvlText w:val=""/>
      <w:lvlJc w:val="left"/>
      <w:pPr>
        <w:tabs>
          <w:tab w:val="num" w:pos="2880"/>
        </w:tabs>
        <w:ind w:left="2880" w:hanging="360"/>
      </w:pPr>
      <w:rPr>
        <w:rFonts w:ascii="Wingdings" w:hAnsi="Wingdings" w:hint="default"/>
      </w:rPr>
    </w:lvl>
    <w:lvl w:ilvl="4" w:tplc="F740E324" w:tentative="1">
      <w:start w:val="1"/>
      <w:numFmt w:val="bullet"/>
      <w:lvlText w:val=""/>
      <w:lvlJc w:val="left"/>
      <w:pPr>
        <w:tabs>
          <w:tab w:val="num" w:pos="3600"/>
        </w:tabs>
        <w:ind w:left="3600" w:hanging="360"/>
      </w:pPr>
      <w:rPr>
        <w:rFonts w:ascii="Wingdings" w:hAnsi="Wingdings" w:hint="default"/>
      </w:rPr>
    </w:lvl>
    <w:lvl w:ilvl="5" w:tplc="7730CCAC" w:tentative="1">
      <w:start w:val="1"/>
      <w:numFmt w:val="bullet"/>
      <w:lvlText w:val=""/>
      <w:lvlJc w:val="left"/>
      <w:pPr>
        <w:tabs>
          <w:tab w:val="num" w:pos="4320"/>
        </w:tabs>
        <w:ind w:left="4320" w:hanging="360"/>
      </w:pPr>
      <w:rPr>
        <w:rFonts w:ascii="Wingdings" w:hAnsi="Wingdings" w:hint="default"/>
      </w:rPr>
    </w:lvl>
    <w:lvl w:ilvl="6" w:tplc="A082322C" w:tentative="1">
      <w:start w:val="1"/>
      <w:numFmt w:val="bullet"/>
      <w:lvlText w:val=""/>
      <w:lvlJc w:val="left"/>
      <w:pPr>
        <w:tabs>
          <w:tab w:val="num" w:pos="5040"/>
        </w:tabs>
        <w:ind w:left="5040" w:hanging="360"/>
      </w:pPr>
      <w:rPr>
        <w:rFonts w:ascii="Wingdings" w:hAnsi="Wingdings" w:hint="default"/>
      </w:rPr>
    </w:lvl>
    <w:lvl w:ilvl="7" w:tplc="53961A12" w:tentative="1">
      <w:start w:val="1"/>
      <w:numFmt w:val="bullet"/>
      <w:lvlText w:val=""/>
      <w:lvlJc w:val="left"/>
      <w:pPr>
        <w:tabs>
          <w:tab w:val="num" w:pos="5760"/>
        </w:tabs>
        <w:ind w:left="5760" w:hanging="360"/>
      </w:pPr>
      <w:rPr>
        <w:rFonts w:ascii="Wingdings" w:hAnsi="Wingdings" w:hint="default"/>
      </w:rPr>
    </w:lvl>
    <w:lvl w:ilvl="8" w:tplc="8B5E40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D76BB"/>
    <w:multiLevelType w:val="hybridMultilevel"/>
    <w:tmpl w:val="5A0E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9E707B"/>
    <w:multiLevelType w:val="hybridMultilevel"/>
    <w:tmpl w:val="00EE19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3767F"/>
    <w:multiLevelType w:val="hybridMultilevel"/>
    <w:tmpl w:val="6B2C0B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3206B4"/>
    <w:multiLevelType w:val="hybridMultilevel"/>
    <w:tmpl w:val="22B617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7F370B"/>
    <w:multiLevelType w:val="hybridMultilevel"/>
    <w:tmpl w:val="CCF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1390"/>
    <w:multiLevelType w:val="hybridMultilevel"/>
    <w:tmpl w:val="64D2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A0EA5"/>
    <w:multiLevelType w:val="hybridMultilevel"/>
    <w:tmpl w:val="D6FC2A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4230A2"/>
    <w:multiLevelType w:val="hybridMultilevel"/>
    <w:tmpl w:val="FD90052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D4B2456"/>
    <w:multiLevelType w:val="hybridMultilevel"/>
    <w:tmpl w:val="A028B24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907225"/>
    <w:multiLevelType w:val="hybridMultilevel"/>
    <w:tmpl w:val="B086966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57C31392"/>
    <w:multiLevelType w:val="hybridMultilevel"/>
    <w:tmpl w:val="0E22B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D03C0"/>
    <w:multiLevelType w:val="hybridMultilevel"/>
    <w:tmpl w:val="F5CC58BE"/>
    <w:lvl w:ilvl="0" w:tplc="D0E80BD2">
      <w:start w:val="1"/>
      <w:numFmt w:val="bullet"/>
      <w:lvlText w:val=""/>
      <w:lvlJc w:val="left"/>
      <w:pPr>
        <w:tabs>
          <w:tab w:val="num" w:pos="720"/>
        </w:tabs>
        <w:ind w:left="720" w:hanging="360"/>
      </w:pPr>
      <w:rPr>
        <w:rFonts w:ascii="Wingdings" w:hAnsi="Wingdings" w:hint="default"/>
      </w:rPr>
    </w:lvl>
    <w:lvl w:ilvl="1" w:tplc="D9BCA69E" w:tentative="1">
      <w:start w:val="1"/>
      <w:numFmt w:val="bullet"/>
      <w:lvlText w:val=""/>
      <w:lvlJc w:val="left"/>
      <w:pPr>
        <w:tabs>
          <w:tab w:val="num" w:pos="1440"/>
        </w:tabs>
        <w:ind w:left="1440" w:hanging="360"/>
      </w:pPr>
      <w:rPr>
        <w:rFonts w:ascii="Wingdings" w:hAnsi="Wingdings" w:hint="default"/>
      </w:rPr>
    </w:lvl>
    <w:lvl w:ilvl="2" w:tplc="AD1EFC48" w:tentative="1">
      <w:start w:val="1"/>
      <w:numFmt w:val="bullet"/>
      <w:lvlText w:val=""/>
      <w:lvlJc w:val="left"/>
      <w:pPr>
        <w:tabs>
          <w:tab w:val="num" w:pos="2160"/>
        </w:tabs>
        <w:ind w:left="2160" w:hanging="360"/>
      </w:pPr>
      <w:rPr>
        <w:rFonts w:ascii="Wingdings" w:hAnsi="Wingdings" w:hint="default"/>
      </w:rPr>
    </w:lvl>
    <w:lvl w:ilvl="3" w:tplc="0F4C1776" w:tentative="1">
      <w:start w:val="1"/>
      <w:numFmt w:val="bullet"/>
      <w:lvlText w:val=""/>
      <w:lvlJc w:val="left"/>
      <w:pPr>
        <w:tabs>
          <w:tab w:val="num" w:pos="2880"/>
        </w:tabs>
        <w:ind w:left="2880" w:hanging="360"/>
      </w:pPr>
      <w:rPr>
        <w:rFonts w:ascii="Wingdings" w:hAnsi="Wingdings" w:hint="default"/>
      </w:rPr>
    </w:lvl>
    <w:lvl w:ilvl="4" w:tplc="8CD2E3B6" w:tentative="1">
      <w:start w:val="1"/>
      <w:numFmt w:val="bullet"/>
      <w:lvlText w:val=""/>
      <w:lvlJc w:val="left"/>
      <w:pPr>
        <w:tabs>
          <w:tab w:val="num" w:pos="3600"/>
        </w:tabs>
        <w:ind w:left="3600" w:hanging="360"/>
      </w:pPr>
      <w:rPr>
        <w:rFonts w:ascii="Wingdings" w:hAnsi="Wingdings" w:hint="default"/>
      </w:rPr>
    </w:lvl>
    <w:lvl w:ilvl="5" w:tplc="821AA97A" w:tentative="1">
      <w:start w:val="1"/>
      <w:numFmt w:val="bullet"/>
      <w:lvlText w:val=""/>
      <w:lvlJc w:val="left"/>
      <w:pPr>
        <w:tabs>
          <w:tab w:val="num" w:pos="4320"/>
        </w:tabs>
        <w:ind w:left="4320" w:hanging="360"/>
      </w:pPr>
      <w:rPr>
        <w:rFonts w:ascii="Wingdings" w:hAnsi="Wingdings" w:hint="default"/>
      </w:rPr>
    </w:lvl>
    <w:lvl w:ilvl="6" w:tplc="5FDAACDE" w:tentative="1">
      <w:start w:val="1"/>
      <w:numFmt w:val="bullet"/>
      <w:lvlText w:val=""/>
      <w:lvlJc w:val="left"/>
      <w:pPr>
        <w:tabs>
          <w:tab w:val="num" w:pos="5040"/>
        </w:tabs>
        <w:ind w:left="5040" w:hanging="360"/>
      </w:pPr>
      <w:rPr>
        <w:rFonts w:ascii="Wingdings" w:hAnsi="Wingdings" w:hint="default"/>
      </w:rPr>
    </w:lvl>
    <w:lvl w:ilvl="7" w:tplc="511C2690" w:tentative="1">
      <w:start w:val="1"/>
      <w:numFmt w:val="bullet"/>
      <w:lvlText w:val=""/>
      <w:lvlJc w:val="left"/>
      <w:pPr>
        <w:tabs>
          <w:tab w:val="num" w:pos="5760"/>
        </w:tabs>
        <w:ind w:left="5760" w:hanging="360"/>
      </w:pPr>
      <w:rPr>
        <w:rFonts w:ascii="Wingdings" w:hAnsi="Wingdings" w:hint="default"/>
      </w:rPr>
    </w:lvl>
    <w:lvl w:ilvl="8" w:tplc="D59425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C67CA"/>
    <w:multiLevelType w:val="hybridMultilevel"/>
    <w:tmpl w:val="01F441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2F33324"/>
    <w:multiLevelType w:val="hybridMultilevel"/>
    <w:tmpl w:val="DD7EE5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FE12D0"/>
    <w:multiLevelType w:val="hybridMultilevel"/>
    <w:tmpl w:val="EEE21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076EF"/>
    <w:multiLevelType w:val="hybridMultilevel"/>
    <w:tmpl w:val="184A3F74"/>
    <w:lvl w:ilvl="0" w:tplc="A474A5F8">
      <w:start w:val="1"/>
      <w:numFmt w:val="bullet"/>
      <w:lvlText w:val=""/>
      <w:lvlJc w:val="left"/>
      <w:pPr>
        <w:tabs>
          <w:tab w:val="num" w:pos="720"/>
        </w:tabs>
        <w:ind w:left="720" w:hanging="360"/>
      </w:pPr>
      <w:rPr>
        <w:rFonts w:ascii="Wingdings" w:hAnsi="Wingdings" w:hint="default"/>
      </w:rPr>
    </w:lvl>
    <w:lvl w:ilvl="1" w:tplc="A770F1E0" w:tentative="1">
      <w:start w:val="1"/>
      <w:numFmt w:val="bullet"/>
      <w:lvlText w:val=""/>
      <w:lvlJc w:val="left"/>
      <w:pPr>
        <w:tabs>
          <w:tab w:val="num" w:pos="1440"/>
        </w:tabs>
        <w:ind w:left="1440" w:hanging="360"/>
      </w:pPr>
      <w:rPr>
        <w:rFonts w:ascii="Wingdings" w:hAnsi="Wingdings" w:hint="default"/>
      </w:rPr>
    </w:lvl>
    <w:lvl w:ilvl="2" w:tplc="BC56C696" w:tentative="1">
      <w:start w:val="1"/>
      <w:numFmt w:val="bullet"/>
      <w:lvlText w:val=""/>
      <w:lvlJc w:val="left"/>
      <w:pPr>
        <w:tabs>
          <w:tab w:val="num" w:pos="2160"/>
        </w:tabs>
        <w:ind w:left="2160" w:hanging="360"/>
      </w:pPr>
      <w:rPr>
        <w:rFonts w:ascii="Wingdings" w:hAnsi="Wingdings" w:hint="default"/>
      </w:rPr>
    </w:lvl>
    <w:lvl w:ilvl="3" w:tplc="0B6C73C0" w:tentative="1">
      <w:start w:val="1"/>
      <w:numFmt w:val="bullet"/>
      <w:lvlText w:val=""/>
      <w:lvlJc w:val="left"/>
      <w:pPr>
        <w:tabs>
          <w:tab w:val="num" w:pos="2880"/>
        </w:tabs>
        <w:ind w:left="2880" w:hanging="360"/>
      </w:pPr>
      <w:rPr>
        <w:rFonts w:ascii="Wingdings" w:hAnsi="Wingdings" w:hint="default"/>
      </w:rPr>
    </w:lvl>
    <w:lvl w:ilvl="4" w:tplc="24C4BE20" w:tentative="1">
      <w:start w:val="1"/>
      <w:numFmt w:val="bullet"/>
      <w:lvlText w:val=""/>
      <w:lvlJc w:val="left"/>
      <w:pPr>
        <w:tabs>
          <w:tab w:val="num" w:pos="3600"/>
        </w:tabs>
        <w:ind w:left="3600" w:hanging="360"/>
      </w:pPr>
      <w:rPr>
        <w:rFonts w:ascii="Wingdings" w:hAnsi="Wingdings" w:hint="default"/>
      </w:rPr>
    </w:lvl>
    <w:lvl w:ilvl="5" w:tplc="5DA8715A" w:tentative="1">
      <w:start w:val="1"/>
      <w:numFmt w:val="bullet"/>
      <w:lvlText w:val=""/>
      <w:lvlJc w:val="left"/>
      <w:pPr>
        <w:tabs>
          <w:tab w:val="num" w:pos="4320"/>
        </w:tabs>
        <w:ind w:left="4320" w:hanging="360"/>
      </w:pPr>
      <w:rPr>
        <w:rFonts w:ascii="Wingdings" w:hAnsi="Wingdings" w:hint="default"/>
      </w:rPr>
    </w:lvl>
    <w:lvl w:ilvl="6" w:tplc="E2F2F42E" w:tentative="1">
      <w:start w:val="1"/>
      <w:numFmt w:val="bullet"/>
      <w:lvlText w:val=""/>
      <w:lvlJc w:val="left"/>
      <w:pPr>
        <w:tabs>
          <w:tab w:val="num" w:pos="5040"/>
        </w:tabs>
        <w:ind w:left="5040" w:hanging="360"/>
      </w:pPr>
      <w:rPr>
        <w:rFonts w:ascii="Wingdings" w:hAnsi="Wingdings" w:hint="default"/>
      </w:rPr>
    </w:lvl>
    <w:lvl w:ilvl="7" w:tplc="3760EA40" w:tentative="1">
      <w:start w:val="1"/>
      <w:numFmt w:val="bullet"/>
      <w:lvlText w:val=""/>
      <w:lvlJc w:val="left"/>
      <w:pPr>
        <w:tabs>
          <w:tab w:val="num" w:pos="5760"/>
        </w:tabs>
        <w:ind w:left="5760" w:hanging="360"/>
      </w:pPr>
      <w:rPr>
        <w:rFonts w:ascii="Wingdings" w:hAnsi="Wingdings" w:hint="default"/>
      </w:rPr>
    </w:lvl>
    <w:lvl w:ilvl="8" w:tplc="24B492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1F2B97"/>
    <w:multiLevelType w:val="hybridMultilevel"/>
    <w:tmpl w:val="0F06B75E"/>
    <w:lvl w:ilvl="0" w:tplc="06322E34">
      <w:start w:val="1"/>
      <w:numFmt w:val="bullet"/>
      <w:lvlText w:val=""/>
      <w:lvlJc w:val="left"/>
      <w:pPr>
        <w:tabs>
          <w:tab w:val="num" w:pos="720"/>
        </w:tabs>
        <w:ind w:left="720" w:hanging="360"/>
      </w:pPr>
      <w:rPr>
        <w:rFonts w:ascii="Wingdings" w:hAnsi="Wingdings" w:hint="default"/>
      </w:rPr>
    </w:lvl>
    <w:lvl w:ilvl="1" w:tplc="E1F897AC" w:tentative="1">
      <w:start w:val="1"/>
      <w:numFmt w:val="bullet"/>
      <w:lvlText w:val=""/>
      <w:lvlJc w:val="left"/>
      <w:pPr>
        <w:tabs>
          <w:tab w:val="num" w:pos="1440"/>
        </w:tabs>
        <w:ind w:left="1440" w:hanging="360"/>
      </w:pPr>
      <w:rPr>
        <w:rFonts w:ascii="Wingdings" w:hAnsi="Wingdings" w:hint="default"/>
      </w:rPr>
    </w:lvl>
    <w:lvl w:ilvl="2" w:tplc="24180660" w:tentative="1">
      <w:start w:val="1"/>
      <w:numFmt w:val="bullet"/>
      <w:lvlText w:val=""/>
      <w:lvlJc w:val="left"/>
      <w:pPr>
        <w:tabs>
          <w:tab w:val="num" w:pos="2160"/>
        </w:tabs>
        <w:ind w:left="2160" w:hanging="360"/>
      </w:pPr>
      <w:rPr>
        <w:rFonts w:ascii="Wingdings" w:hAnsi="Wingdings" w:hint="default"/>
      </w:rPr>
    </w:lvl>
    <w:lvl w:ilvl="3" w:tplc="F822E34A" w:tentative="1">
      <w:start w:val="1"/>
      <w:numFmt w:val="bullet"/>
      <w:lvlText w:val=""/>
      <w:lvlJc w:val="left"/>
      <w:pPr>
        <w:tabs>
          <w:tab w:val="num" w:pos="2880"/>
        </w:tabs>
        <w:ind w:left="2880" w:hanging="360"/>
      </w:pPr>
      <w:rPr>
        <w:rFonts w:ascii="Wingdings" w:hAnsi="Wingdings" w:hint="default"/>
      </w:rPr>
    </w:lvl>
    <w:lvl w:ilvl="4" w:tplc="17C2F162" w:tentative="1">
      <w:start w:val="1"/>
      <w:numFmt w:val="bullet"/>
      <w:lvlText w:val=""/>
      <w:lvlJc w:val="left"/>
      <w:pPr>
        <w:tabs>
          <w:tab w:val="num" w:pos="3600"/>
        </w:tabs>
        <w:ind w:left="3600" w:hanging="360"/>
      </w:pPr>
      <w:rPr>
        <w:rFonts w:ascii="Wingdings" w:hAnsi="Wingdings" w:hint="default"/>
      </w:rPr>
    </w:lvl>
    <w:lvl w:ilvl="5" w:tplc="E6ECACC4" w:tentative="1">
      <w:start w:val="1"/>
      <w:numFmt w:val="bullet"/>
      <w:lvlText w:val=""/>
      <w:lvlJc w:val="left"/>
      <w:pPr>
        <w:tabs>
          <w:tab w:val="num" w:pos="4320"/>
        </w:tabs>
        <w:ind w:left="4320" w:hanging="360"/>
      </w:pPr>
      <w:rPr>
        <w:rFonts w:ascii="Wingdings" w:hAnsi="Wingdings" w:hint="default"/>
      </w:rPr>
    </w:lvl>
    <w:lvl w:ilvl="6" w:tplc="6DE2DF82" w:tentative="1">
      <w:start w:val="1"/>
      <w:numFmt w:val="bullet"/>
      <w:lvlText w:val=""/>
      <w:lvlJc w:val="left"/>
      <w:pPr>
        <w:tabs>
          <w:tab w:val="num" w:pos="5040"/>
        </w:tabs>
        <w:ind w:left="5040" w:hanging="360"/>
      </w:pPr>
      <w:rPr>
        <w:rFonts w:ascii="Wingdings" w:hAnsi="Wingdings" w:hint="default"/>
      </w:rPr>
    </w:lvl>
    <w:lvl w:ilvl="7" w:tplc="228A90AE" w:tentative="1">
      <w:start w:val="1"/>
      <w:numFmt w:val="bullet"/>
      <w:lvlText w:val=""/>
      <w:lvlJc w:val="left"/>
      <w:pPr>
        <w:tabs>
          <w:tab w:val="num" w:pos="5760"/>
        </w:tabs>
        <w:ind w:left="5760" w:hanging="360"/>
      </w:pPr>
      <w:rPr>
        <w:rFonts w:ascii="Wingdings" w:hAnsi="Wingdings" w:hint="default"/>
      </w:rPr>
    </w:lvl>
    <w:lvl w:ilvl="8" w:tplc="DDC8BC5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5"/>
  </w:num>
  <w:num w:numId="4">
    <w:abstractNumId w:val="5"/>
  </w:num>
  <w:num w:numId="5">
    <w:abstractNumId w:val="4"/>
  </w:num>
  <w:num w:numId="6">
    <w:abstractNumId w:val="1"/>
  </w:num>
  <w:num w:numId="7">
    <w:abstractNumId w:val="17"/>
  </w:num>
  <w:num w:numId="8">
    <w:abstractNumId w:val="3"/>
  </w:num>
  <w:num w:numId="9">
    <w:abstractNumId w:val="7"/>
  </w:num>
  <w:num w:numId="10">
    <w:abstractNumId w:val="10"/>
  </w:num>
  <w:num w:numId="11">
    <w:abstractNumId w:val="13"/>
  </w:num>
  <w:num w:numId="12">
    <w:abstractNumId w:val="8"/>
  </w:num>
  <w:num w:numId="13">
    <w:abstractNumId w:val="2"/>
  </w:num>
  <w:num w:numId="14">
    <w:abstractNumId w:val="6"/>
  </w:num>
  <w:num w:numId="15">
    <w:abstractNumId w:val="11"/>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EA"/>
    <w:rsid w:val="00011050"/>
    <w:rsid w:val="00014643"/>
    <w:rsid w:val="000418F1"/>
    <w:rsid w:val="0005302C"/>
    <w:rsid w:val="00054F60"/>
    <w:rsid w:val="000613DF"/>
    <w:rsid w:val="000632D5"/>
    <w:rsid w:val="00080193"/>
    <w:rsid w:val="000844DE"/>
    <w:rsid w:val="000B15CD"/>
    <w:rsid w:val="000B5817"/>
    <w:rsid w:val="000B602D"/>
    <w:rsid w:val="00107F31"/>
    <w:rsid w:val="001206CC"/>
    <w:rsid w:val="00121195"/>
    <w:rsid w:val="00131103"/>
    <w:rsid w:val="00144381"/>
    <w:rsid w:val="0014799D"/>
    <w:rsid w:val="00166057"/>
    <w:rsid w:val="00167EBC"/>
    <w:rsid w:val="0017226B"/>
    <w:rsid w:val="00183C20"/>
    <w:rsid w:val="00193EA3"/>
    <w:rsid w:val="001956DF"/>
    <w:rsid w:val="001A7FFA"/>
    <w:rsid w:val="001C6AD0"/>
    <w:rsid w:val="001D434C"/>
    <w:rsid w:val="001D57FD"/>
    <w:rsid w:val="002007AC"/>
    <w:rsid w:val="0022304B"/>
    <w:rsid w:val="0023350C"/>
    <w:rsid w:val="00262E08"/>
    <w:rsid w:val="002A0E1F"/>
    <w:rsid w:val="002A7B79"/>
    <w:rsid w:val="002B0CDF"/>
    <w:rsid w:val="002D24A4"/>
    <w:rsid w:val="003009F8"/>
    <w:rsid w:val="00302BE6"/>
    <w:rsid w:val="00305D8D"/>
    <w:rsid w:val="00316A88"/>
    <w:rsid w:val="00331929"/>
    <w:rsid w:val="003372A0"/>
    <w:rsid w:val="00363431"/>
    <w:rsid w:val="003720EE"/>
    <w:rsid w:val="003822D5"/>
    <w:rsid w:val="00387286"/>
    <w:rsid w:val="00392D9B"/>
    <w:rsid w:val="00395697"/>
    <w:rsid w:val="003B1C77"/>
    <w:rsid w:val="003B32BA"/>
    <w:rsid w:val="003D27D5"/>
    <w:rsid w:val="004016BF"/>
    <w:rsid w:val="004073E3"/>
    <w:rsid w:val="004210D5"/>
    <w:rsid w:val="0042712F"/>
    <w:rsid w:val="00433F59"/>
    <w:rsid w:val="00474012"/>
    <w:rsid w:val="0048745B"/>
    <w:rsid w:val="004D0673"/>
    <w:rsid w:val="00506B0F"/>
    <w:rsid w:val="00513254"/>
    <w:rsid w:val="00516B0D"/>
    <w:rsid w:val="005360E3"/>
    <w:rsid w:val="00544315"/>
    <w:rsid w:val="0054581B"/>
    <w:rsid w:val="00560244"/>
    <w:rsid w:val="00586F11"/>
    <w:rsid w:val="005A685F"/>
    <w:rsid w:val="005B0E91"/>
    <w:rsid w:val="005B734E"/>
    <w:rsid w:val="005C4919"/>
    <w:rsid w:val="005C62BB"/>
    <w:rsid w:val="00606826"/>
    <w:rsid w:val="00610429"/>
    <w:rsid w:val="00634174"/>
    <w:rsid w:val="00644347"/>
    <w:rsid w:val="006449F0"/>
    <w:rsid w:val="00676A90"/>
    <w:rsid w:val="006802F1"/>
    <w:rsid w:val="0068200C"/>
    <w:rsid w:val="00686FC6"/>
    <w:rsid w:val="006A2983"/>
    <w:rsid w:val="006B1384"/>
    <w:rsid w:val="006D11CA"/>
    <w:rsid w:val="006D6ECC"/>
    <w:rsid w:val="006E4A23"/>
    <w:rsid w:val="006E56CE"/>
    <w:rsid w:val="00711798"/>
    <w:rsid w:val="00722388"/>
    <w:rsid w:val="007258BD"/>
    <w:rsid w:val="0075699C"/>
    <w:rsid w:val="007634A4"/>
    <w:rsid w:val="0077776A"/>
    <w:rsid w:val="0078628B"/>
    <w:rsid w:val="00787746"/>
    <w:rsid w:val="007970FD"/>
    <w:rsid w:val="007B4190"/>
    <w:rsid w:val="007B4D70"/>
    <w:rsid w:val="007C0E1F"/>
    <w:rsid w:val="007C6DE8"/>
    <w:rsid w:val="007C76A6"/>
    <w:rsid w:val="007E5D74"/>
    <w:rsid w:val="00824169"/>
    <w:rsid w:val="00833037"/>
    <w:rsid w:val="00845B09"/>
    <w:rsid w:val="00846287"/>
    <w:rsid w:val="00866ADE"/>
    <w:rsid w:val="00867B22"/>
    <w:rsid w:val="008A02ED"/>
    <w:rsid w:val="008B15B7"/>
    <w:rsid w:val="008C52DA"/>
    <w:rsid w:val="008D5F4C"/>
    <w:rsid w:val="008F2BD4"/>
    <w:rsid w:val="00903ACA"/>
    <w:rsid w:val="009508F0"/>
    <w:rsid w:val="00971D40"/>
    <w:rsid w:val="00972B88"/>
    <w:rsid w:val="00984E01"/>
    <w:rsid w:val="009B4EEB"/>
    <w:rsid w:val="009C40F0"/>
    <w:rsid w:val="009D19B2"/>
    <w:rsid w:val="009D3AC5"/>
    <w:rsid w:val="009E40D4"/>
    <w:rsid w:val="009E7CFB"/>
    <w:rsid w:val="00A30F0D"/>
    <w:rsid w:val="00A33E26"/>
    <w:rsid w:val="00A4457F"/>
    <w:rsid w:val="00A4649F"/>
    <w:rsid w:val="00A60B07"/>
    <w:rsid w:val="00A62683"/>
    <w:rsid w:val="00A64AA6"/>
    <w:rsid w:val="00A71294"/>
    <w:rsid w:val="00A82FA6"/>
    <w:rsid w:val="00AB3CB3"/>
    <w:rsid w:val="00AB3E5E"/>
    <w:rsid w:val="00B05729"/>
    <w:rsid w:val="00B105BE"/>
    <w:rsid w:val="00B10CAC"/>
    <w:rsid w:val="00B2231E"/>
    <w:rsid w:val="00B407C1"/>
    <w:rsid w:val="00B41CC8"/>
    <w:rsid w:val="00B4560D"/>
    <w:rsid w:val="00B74413"/>
    <w:rsid w:val="00B868C8"/>
    <w:rsid w:val="00B90259"/>
    <w:rsid w:val="00B91176"/>
    <w:rsid w:val="00B94B30"/>
    <w:rsid w:val="00BC20EA"/>
    <w:rsid w:val="00BD43CB"/>
    <w:rsid w:val="00BD51C7"/>
    <w:rsid w:val="00C07BC9"/>
    <w:rsid w:val="00C31479"/>
    <w:rsid w:val="00CA50F6"/>
    <w:rsid w:val="00CA6597"/>
    <w:rsid w:val="00CD7AA0"/>
    <w:rsid w:val="00CF28E5"/>
    <w:rsid w:val="00D270B8"/>
    <w:rsid w:val="00D30CCC"/>
    <w:rsid w:val="00D819BF"/>
    <w:rsid w:val="00D93690"/>
    <w:rsid w:val="00DA788D"/>
    <w:rsid w:val="00DB2FE8"/>
    <w:rsid w:val="00DC19D0"/>
    <w:rsid w:val="00E00286"/>
    <w:rsid w:val="00E02F7C"/>
    <w:rsid w:val="00E117B9"/>
    <w:rsid w:val="00E20D0F"/>
    <w:rsid w:val="00E60E69"/>
    <w:rsid w:val="00E65F0A"/>
    <w:rsid w:val="00E852D0"/>
    <w:rsid w:val="00E8714B"/>
    <w:rsid w:val="00EA19F0"/>
    <w:rsid w:val="00EA6F91"/>
    <w:rsid w:val="00EA758A"/>
    <w:rsid w:val="00EB0899"/>
    <w:rsid w:val="00ED4888"/>
    <w:rsid w:val="00EF3937"/>
    <w:rsid w:val="00EF64F6"/>
    <w:rsid w:val="00F00E7E"/>
    <w:rsid w:val="00F00F49"/>
    <w:rsid w:val="00F06629"/>
    <w:rsid w:val="00F26AEB"/>
    <w:rsid w:val="00F464CF"/>
    <w:rsid w:val="00F46A3F"/>
    <w:rsid w:val="00F5742B"/>
    <w:rsid w:val="00F7241E"/>
    <w:rsid w:val="00F7387C"/>
    <w:rsid w:val="00FA0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E27BD"/>
  <w15:chartTrackingRefBased/>
  <w15:docId w15:val="{2E9E99A3-BCC7-4116-A1FC-2ABEB7A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83"/>
    <w:rPr>
      <w:kern w:val="0"/>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AC5"/>
    <w:rPr>
      <w:color w:val="0563C1"/>
      <w:u w:val="single"/>
    </w:rPr>
  </w:style>
  <w:style w:type="paragraph" w:styleId="a4">
    <w:name w:val="List Paragraph"/>
    <w:basedOn w:val="a"/>
    <w:uiPriority w:val="34"/>
    <w:qFormat/>
    <w:rsid w:val="00A64AA6"/>
    <w:pPr>
      <w:ind w:leftChars="200" w:left="480"/>
    </w:pPr>
  </w:style>
  <w:style w:type="paragraph" w:styleId="a5">
    <w:name w:val="header"/>
    <w:basedOn w:val="a"/>
    <w:link w:val="a6"/>
    <w:uiPriority w:val="99"/>
    <w:unhideWhenUsed/>
    <w:rsid w:val="00B10CAC"/>
    <w:pPr>
      <w:tabs>
        <w:tab w:val="center" w:pos="4320"/>
        <w:tab w:val="right" w:pos="8640"/>
      </w:tabs>
    </w:pPr>
  </w:style>
  <w:style w:type="character" w:customStyle="1" w:styleId="a6">
    <w:name w:val="頁首 字元"/>
    <w:basedOn w:val="a0"/>
    <w:link w:val="a5"/>
    <w:uiPriority w:val="99"/>
    <w:rsid w:val="00B10CAC"/>
    <w:rPr>
      <w:kern w:val="0"/>
      <w:szCs w:val="24"/>
      <w:lang w:eastAsia="en-US"/>
    </w:rPr>
  </w:style>
  <w:style w:type="paragraph" w:styleId="a7">
    <w:name w:val="footer"/>
    <w:basedOn w:val="a"/>
    <w:link w:val="a8"/>
    <w:uiPriority w:val="99"/>
    <w:unhideWhenUsed/>
    <w:rsid w:val="00B10CAC"/>
    <w:pPr>
      <w:tabs>
        <w:tab w:val="center" w:pos="4320"/>
        <w:tab w:val="right" w:pos="8640"/>
      </w:tabs>
    </w:pPr>
  </w:style>
  <w:style w:type="character" w:customStyle="1" w:styleId="a8">
    <w:name w:val="頁尾 字元"/>
    <w:basedOn w:val="a0"/>
    <w:link w:val="a7"/>
    <w:uiPriority w:val="99"/>
    <w:rsid w:val="00B10CAC"/>
    <w:rPr>
      <w:kern w:val="0"/>
      <w:szCs w:val="24"/>
      <w:lang w:eastAsia="en-US"/>
    </w:rPr>
  </w:style>
  <w:style w:type="paragraph" w:styleId="Web">
    <w:name w:val="Normal (Web)"/>
    <w:basedOn w:val="a"/>
    <w:uiPriority w:val="99"/>
    <w:semiHidden/>
    <w:unhideWhenUsed/>
    <w:rsid w:val="001956DF"/>
    <w:pPr>
      <w:spacing w:before="100" w:beforeAutospacing="1" w:after="100" w:afterAutospacing="1"/>
    </w:pPr>
    <w:rPr>
      <w:rFonts w:ascii="Times New Roman" w:eastAsia="Times New Roman" w:hAnsi="Times New Roman" w:cs="Times New Roman"/>
      <w:lang w:eastAsia="zh-CN"/>
    </w:rPr>
  </w:style>
  <w:style w:type="paragraph" w:styleId="a9">
    <w:name w:val="Balloon Text"/>
    <w:basedOn w:val="a"/>
    <w:link w:val="aa"/>
    <w:uiPriority w:val="99"/>
    <w:semiHidden/>
    <w:unhideWhenUsed/>
    <w:rsid w:val="00EF39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3937"/>
    <w:rPr>
      <w:rFonts w:asciiTheme="majorHAnsi" w:eastAsiaTheme="majorEastAsia" w:hAnsiTheme="majorHAnsi" w:cstheme="majorBidi"/>
      <w:kern w:val="0"/>
      <w:sz w:val="18"/>
      <w:szCs w:val="18"/>
      <w:lang w:eastAsia="en-US"/>
    </w:rPr>
  </w:style>
  <w:style w:type="character" w:customStyle="1" w:styleId="UnresolvedMention">
    <w:name w:val="Unresolved Mention"/>
    <w:basedOn w:val="a0"/>
    <w:uiPriority w:val="99"/>
    <w:semiHidden/>
    <w:unhideWhenUsed/>
    <w:rsid w:val="00C0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664">
      <w:bodyDiv w:val="1"/>
      <w:marLeft w:val="0"/>
      <w:marRight w:val="0"/>
      <w:marTop w:val="0"/>
      <w:marBottom w:val="0"/>
      <w:divBdr>
        <w:top w:val="none" w:sz="0" w:space="0" w:color="auto"/>
        <w:left w:val="none" w:sz="0" w:space="0" w:color="auto"/>
        <w:bottom w:val="none" w:sz="0" w:space="0" w:color="auto"/>
        <w:right w:val="none" w:sz="0" w:space="0" w:color="auto"/>
      </w:divBdr>
      <w:divsChild>
        <w:div w:id="1292784252">
          <w:marLeft w:val="432"/>
          <w:marRight w:val="0"/>
          <w:marTop w:val="120"/>
          <w:marBottom w:val="0"/>
          <w:divBdr>
            <w:top w:val="none" w:sz="0" w:space="0" w:color="auto"/>
            <w:left w:val="none" w:sz="0" w:space="0" w:color="auto"/>
            <w:bottom w:val="none" w:sz="0" w:space="0" w:color="auto"/>
            <w:right w:val="none" w:sz="0" w:space="0" w:color="auto"/>
          </w:divBdr>
        </w:div>
      </w:divsChild>
    </w:div>
    <w:div w:id="168759831">
      <w:bodyDiv w:val="1"/>
      <w:marLeft w:val="0"/>
      <w:marRight w:val="0"/>
      <w:marTop w:val="0"/>
      <w:marBottom w:val="0"/>
      <w:divBdr>
        <w:top w:val="none" w:sz="0" w:space="0" w:color="auto"/>
        <w:left w:val="none" w:sz="0" w:space="0" w:color="auto"/>
        <w:bottom w:val="none" w:sz="0" w:space="0" w:color="auto"/>
        <w:right w:val="none" w:sz="0" w:space="0" w:color="auto"/>
      </w:divBdr>
    </w:div>
    <w:div w:id="191192125">
      <w:bodyDiv w:val="1"/>
      <w:marLeft w:val="0"/>
      <w:marRight w:val="0"/>
      <w:marTop w:val="0"/>
      <w:marBottom w:val="0"/>
      <w:divBdr>
        <w:top w:val="none" w:sz="0" w:space="0" w:color="auto"/>
        <w:left w:val="none" w:sz="0" w:space="0" w:color="auto"/>
        <w:bottom w:val="none" w:sz="0" w:space="0" w:color="auto"/>
        <w:right w:val="none" w:sz="0" w:space="0" w:color="auto"/>
      </w:divBdr>
    </w:div>
    <w:div w:id="534580192">
      <w:bodyDiv w:val="1"/>
      <w:marLeft w:val="0"/>
      <w:marRight w:val="0"/>
      <w:marTop w:val="0"/>
      <w:marBottom w:val="0"/>
      <w:divBdr>
        <w:top w:val="none" w:sz="0" w:space="0" w:color="auto"/>
        <w:left w:val="none" w:sz="0" w:space="0" w:color="auto"/>
        <w:bottom w:val="none" w:sz="0" w:space="0" w:color="auto"/>
        <w:right w:val="none" w:sz="0" w:space="0" w:color="auto"/>
      </w:divBdr>
    </w:div>
    <w:div w:id="544219777">
      <w:bodyDiv w:val="1"/>
      <w:marLeft w:val="0"/>
      <w:marRight w:val="0"/>
      <w:marTop w:val="0"/>
      <w:marBottom w:val="0"/>
      <w:divBdr>
        <w:top w:val="none" w:sz="0" w:space="0" w:color="auto"/>
        <w:left w:val="none" w:sz="0" w:space="0" w:color="auto"/>
        <w:bottom w:val="none" w:sz="0" w:space="0" w:color="auto"/>
        <w:right w:val="none" w:sz="0" w:space="0" w:color="auto"/>
      </w:divBdr>
      <w:divsChild>
        <w:div w:id="1188828983">
          <w:marLeft w:val="0"/>
          <w:marRight w:val="0"/>
          <w:marTop w:val="0"/>
          <w:marBottom w:val="0"/>
          <w:divBdr>
            <w:top w:val="none" w:sz="0" w:space="0" w:color="auto"/>
            <w:left w:val="none" w:sz="0" w:space="0" w:color="auto"/>
            <w:bottom w:val="none" w:sz="0" w:space="0" w:color="auto"/>
            <w:right w:val="none" w:sz="0" w:space="0" w:color="auto"/>
          </w:divBdr>
          <w:divsChild>
            <w:div w:id="1942109493">
              <w:marLeft w:val="0"/>
              <w:marRight w:val="0"/>
              <w:marTop w:val="0"/>
              <w:marBottom w:val="0"/>
              <w:divBdr>
                <w:top w:val="none" w:sz="0" w:space="0" w:color="auto"/>
                <w:left w:val="none" w:sz="0" w:space="0" w:color="auto"/>
                <w:bottom w:val="none" w:sz="0" w:space="0" w:color="auto"/>
                <w:right w:val="none" w:sz="0" w:space="0" w:color="auto"/>
              </w:divBdr>
              <w:divsChild>
                <w:div w:id="1871407151">
                  <w:marLeft w:val="0"/>
                  <w:marRight w:val="0"/>
                  <w:marTop w:val="0"/>
                  <w:marBottom w:val="0"/>
                  <w:divBdr>
                    <w:top w:val="none" w:sz="0" w:space="0" w:color="auto"/>
                    <w:left w:val="none" w:sz="0" w:space="0" w:color="auto"/>
                    <w:bottom w:val="none" w:sz="0" w:space="0" w:color="auto"/>
                    <w:right w:val="none" w:sz="0" w:space="0" w:color="auto"/>
                  </w:divBdr>
                  <w:divsChild>
                    <w:div w:id="7727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9165">
      <w:bodyDiv w:val="1"/>
      <w:marLeft w:val="0"/>
      <w:marRight w:val="0"/>
      <w:marTop w:val="0"/>
      <w:marBottom w:val="0"/>
      <w:divBdr>
        <w:top w:val="none" w:sz="0" w:space="0" w:color="auto"/>
        <w:left w:val="none" w:sz="0" w:space="0" w:color="auto"/>
        <w:bottom w:val="none" w:sz="0" w:space="0" w:color="auto"/>
        <w:right w:val="none" w:sz="0" w:space="0" w:color="auto"/>
      </w:divBdr>
      <w:divsChild>
        <w:div w:id="1635673072">
          <w:marLeft w:val="0"/>
          <w:marRight w:val="0"/>
          <w:marTop w:val="0"/>
          <w:marBottom w:val="0"/>
          <w:divBdr>
            <w:top w:val="none" w:sz="0" w:space="0" w:color="auto"/>
            <w:left w:val="none" w:sz="0" w:space="0" w:color="auto"/>
            <w:bottom w:val="none" w:sz="0" w:space="0" w:color="auto"/>
            <w:right w:val="none" w:sz="0" w:space="0" w:color="auto"/>
          </w:divBdr>
          <w:divsChild>
            <w:div w:id="1202665318">
              <w:marLeft w:val="0"/>
              <w:marRight w:val="0"/>
              <w:marTop w:val="0"/>
              <w:marBottom w:val="0"/>
              <w:divBdr>
                <w:top w:val="none" w:sz="0" w:space="0" w:color="auto"/>
                <w:left w:val="none" w:sz="0" w:space="0" w:color="auto"/>
                <w:bottom w:val="none" w:sz="0" w:space="0" w:color="auto"/>
                <w:right w:val="none" w:sz="0" w:space="0" w:color="auto"/>
              </w:divBdr>
              <w:divsChild>
                <w:div w:id="24017113">
                  <w:marLeft w:val="0"/>
                  <w:marRight w:val="0"/>
                  <w:marTop w:val="0"/>
                  <w:marBottom w:val="0"/>
                  <w:divBdr>
                    <w:top w:val="none" w:sz="0" w:space="0" w:color="auto"/>
                    <w:left w:val="none" w:sz="0" w:space="0" w:color="auto"/>
                    <w:bottom w:val="none" w:sz="0" w:space="0" w:color="auto"/>
                    <w:right w:val="none" w:sz="0" w:space="0" w:color="auto"/>
                  </w:divBdr>
                  <w:divsChild>
                    <w:div w:id="17238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3780">
      <w:bodyDiv w:val="1"/>
      <w:marLeft w:val="0"/>
      <w:marRight w:val="0"/>
      <w:marTop w:val="0"/>
      <w:marBottom w:val="0"/>
      <w:divBdr>
        <w:top w:val="none" w:sz="0" w:space="0" w:color="auto"/>
        <w:left w:val="none" w:sz="0" w:space="0" w:color="auto"/>
        <w:bottom w:val="none" w:sz="0" w:space="0" w:color="auto"/>
        <w:right w:val="none" w:sz="0" w:space="0" w:color="auto"/>
      </w:divBdr>
    </w:div>
    <w:div w:id="809637768">
      <w:bodyDiv w:val="1"/>
      <w:marLeft w:val="0"/>
      <w:marRight w:val="0"/>
      <w:marTop w:val="0"/>
      <w:marBottom w:val="0"/>
      <w:divBdr>
        <w:top w:val="none" w:sz="0" w:space="0" w:color="auto"/>
        <w:left w:val="none" w:sz="0" w:space="0" w:color="auto"/>
        <w:bottom w:val="none" w:sz="0" w:space="0" w:color="auto"/>
        <w:right w:val="none" w:sz="0" w:space="0" w:color="auto"/>
      </w:divBdr>
      <w:divsChild>
        <w:div w:id="2098596562">
          <w:marLeft w:val="300"/>
          <w:marRight w:val="300"/>
          <w:marTop w:val="0"/>
          <w:marBottom w:val="0"/>
          <w:divBdr>
            <w:top w:val="none" w:sz="0" w:space="0" w:color="auto"/>
            <w:left w:val="none" w:sz="0" w:space="0" w:color="auto"/>
            <w:bottom w:val="none" w:sz="0" w:space="0" w:color="auto"/>
            <w:right w:val="none" w:sz="0" w:space="0" w:color="auto"/>
          </w:divBdr>
        </w:div>
        <w:div w:id="375931380">
          <w:marLeft w:val="300"/>
          <w:marRight w:val="300"/>
          <w:marTop w:val="0"/>
          <w:marBottom w:val="0"/>
          <w:divBdr>
            <w:top w:val="none" w:sz="0" w:space="0" w:color="auto"/>
            <w:left w:val="none" w:sz="0" w:space="0" w:color="auto"/>
            <w:bottom w:val="none" w:sz="0" w:space="0" w:color="auto"/>
            <w:right w:val="none" w:sz="0" w:space="0" w:color="auto"/>
          </w:divBdr>
        </w:div>
        <w:div w:id="1000426065">
          <w:marLeft w:val="300"/>
          <w:marRight w:val="300"/>
          <w:marTop w:val="0"/>
          <w:marBottom w:val="0"/>
          <w:divBdr>
            <w:top w:val="none" w:sz="0" w:space="0" w:color="auto"/>
            <w:left w:val="none" w:sz="0" w:space="0" w:color="auto"/>
            <w:bottom w:val="none" w:sz="0" w:space="0" w:color="auto"/>
            <w:right w:val="none" w:sz="0" w:space="0" w:color="auto"/>
          </w:divBdr>
        </w:div>
      </w:divsChild>
    </w:div>
    <w:div w:id="949510940">
      <w:bodyDiv w:val="1"/>
      <w:marLeft w:val="0"/>
      <w:marRight w:val="0"/>
      <w:marTop w:val="0"/>
      <w:marBottom w:val="0"/>
      <w:divBdr>
        <w:top w:val="none" w:sz="0" w:space="0" w:color="auto"/>
        <w:left w:val="none" w:sz="0" w:space="0" w:color="auto"/>
        <w:bottom w:val="none" w:sz="0" w:space="0" w:color="auto"/>
        <w:right w:val="none" w:sz="0" w:space="0" w:color="auto"/>
      </w:divBdr>
    </w:div>
    <w:div w:id="1140806484">
      <w:bodyDiv w:val="1"/>
      <w:marLeft w:val="0"/>
      <w:marRight w:val="0"/>
      <w:marTop w:val="0"/>
      <w:marBottom w:val="0"/>
      <w:divBdr>
        <w:top w:val="none" w:sz="0" w:space="0" w:color="auto"/>
        <w:left w:val="none" w:sz="0" w:space="0" w:color="auto"/>
        <w:bottom w:val="none" w:sz="0" w:space="0" w:color="auto"/>
        <w:right w:val="none" w:sz="0" w:space="0" w:color="auto"/>
      </w:divBdr>
    </w:div>
    <w:div w:id="1296254602">
      <w:bodyDiv w:val="1"/>
      <w:marLeft w:val="0"/>
      <w:marRight w:val="0"/>
      <w:marTop w:val="0"/>
      <w:marBottom w:val="0"/>
      <w:divBdr>
        <w:top w:val="none" w:sz="0" w:space="0" w:color="auto"/>
        <w:left w:val="none" w:sz="0" w:space="0" w:color="auto"/>
        <w:bottom w:val="none" w:sz="0" w:space="0" w:color="auto"/>
        <w:right w:val="none" w:sz="0" w:space="0" w:color="auto"/>
      </w:divBdr>
    </w:div>
    <w:div w:id="1628123420">
      <w:bodyDiv w:val="1"/>
      <w:marLeft w:val="0"/>
      <w:marRight w:val="0"/>
      <w:marTop w:val="0"/>
      <w:marBottom w:val="0"/>
      <w:divBdr>
        <w:top w:val="none" w:sz="0" w:space="0" w:color="auto"/>
        <w:left w:val="none" w:sz="0" w:space="0" w:color="auto"/>
        <w:bottom w:val="none" w:sz="0" w:space="0" w:color="auto"/>
        <w:right w:val="none" w:sz="0" w:space="0" w:color="auto"/>
      </w:divBdr>
    </w:div>
    <w:div w:id="1641689384">
      <w:bodyDiv w:val="1"/>
      <w:marLeft w:val="0"/>
      <w:marRight w:val="0"/>
      <w:marTop w:val="0"/>
      <w:marBottom w:val="0"/>
      <w:divBdr>
        <w:top w:val="none" w:sz="0" w:space="0" w:color="auto"/>
        <w:left w:val="none" w:sz="0" w:space="0" w:color="auto"/>
        <w:bottom w:val="none" w:sz="0" w:space="0" w:color="auto"/>
        <w:right w:val="none" w:sz="0" w:space="0" w:color="auto"/>
      </w:divBdr>
    </w:div>
    <w:div w:id="1939099519">
      <w:bodyDiv w:val="1"/>
      <w:marLeft w:val="0"/>
      <w:marRight w:val="0"/>
      <w:marTop w:val="0"/>
      <w:marBottom w:val="0"/>
      <w:divBdr>
        <w:top w:val="none" w:sz="0" w:space="0" w:color="auto"/>
        <w:left w:val="none" w:sz="0" w:space="0" w:color="auto"/>
        <w:bottom w:val="none" w:sz="0" w:space="0" w:color="auto"/>
        <w:right w:val="none" w:sz="0" w:space="0" w:color="auto"/>
      </w:divBdr>
    </w:div>
    <w:div w:id="2045400680">
      <w:bodyDiv w:val="1"/>
      <w:marLeft w:val="0"/>
      <w:marRight w:val="0"/>
      <w:marTop w:val="0"/>
      <w:marBottom w:val="0"/>
      <w:divBdr>
        <w:top w:val="none" w:sz="0" w:space="0" w:color="auto"/>
        <w:left w:val="none" w:sz="0" w:space="0" w:color="auto"/>
        <w:bottom w:val="none" w:sz="0" w:space="0" w:color="auto"/>
        <w:right w:val="none" w:sz="0" w:space="0" w:color="auto"/>
      </w:divBdr>
      <w:divsChild>
        <w:div w:id="1150442198">
          <w:marLeft w:val="432"/>
          <w:marRight w:val="0"/>
          <w:marTop w:val="120"/>
          <w:marBottom w:val="0"/>
          <w:divBdr>
            <w:top w:val="none" w:sz="0" w:space="0" w:color="auto"/>
            <w:left w:val="none" w:sz="0" w:space="0" w:color="auto"/>
            <w:bottom w:val="none" w:sz="0" w:space="0" w:color="auto"/>
            <w:right w:val="none" w:sz="0" w:space="0" w:color="auto"/>
          </w:divBdr>
        </w:div>
        <w:div w:id="1763139567">
          <w:marLeft w:val="432"/>
          <w:marRight w:val="0"/>
          <w:marTop w:val="120"/>
          <w:marBottom w:val="0"/>
          <w:divBdr>
            <w:top w:val="none" w:sz="0" w:space="0" w:color="auto"/>
            <w:left w:val="none" w:sz="0" w:space="0" w:color="auto"/>
            <w:bottom w:val="none" w:sz="0" w:space="0" w:color="auto"/>
            <w:right w:val="none" w:sz="0" w:space="0" w:color="auto"/>
          </w:divBdr>
        </w:div>
      </w:divsChild>
    </w:div>
    <w:div w:id="2079470634">
      <w:bodyDiv w:val="1"/>
      <w:marLeft w:val="0"/>
      <w:marRight w:val="0"/>
      <w:marTop w:val="0"/>
      <w:marBottom w:val="0"/>
      <w:divBdr>
        <w:top w:val="none" w:sz="0" w:space="0" w:color="auto"/>
        <w:left w:val="none" w:sz="0" w:space="0" w:color="auto"/>
        <w:bottom w:val="none" w:sz="0" w:space="0" w:color="auto"/>
        <w:right w:val="none" w:sz="0" w:space="0" w:color="auto"/>
      </w:divBdr>
      <w:divsChild>
        <w:div w:id="940379705">
          <w:marLeft w:val="432"/>
          <w:marRight w:val="0"/>
          <w:marTop w:val="120"/>
          <w:marBottom w:val="0"/>
          <w:divBdr>
            <w:top w:val="none" w:sz="0" w:space="0" w:color="auto"/>
            <w:left w:val="none" w:sz="0" w:space="0" w:color="auto"/>
            <w:bottom w:val="none" w:sz="0" w:space="0" w:color="auto"/>
            <w:right w:val="none" w:sz="0" w:space="0" w:color="auto"/>
          </w:divBdr>
        </w:div>
        <w:div w:id="1210922758">
          <w:marLeft w:val="432"/>
          <w:marRight w:val="0"/>
          <w:marTop w:val="120"/>
          <w:marBottom w:val="0"/>
          <w:divBdr>
            <w:top w:val="none" w:sz="0" w:space="0" w:color="auto"/>
            <w:left w:val="none" w:sz="0" w:space="0" w:color="auto"/>
            <w:bottom w:val="none" w:sz="0" w:space="0" w:color="auto"/>
            <w:right w:val="none" w:sz="0" w:space="0" w:color="auto"/>
          </w:divBdr>
        </w:div>
        <w:div w:id="1439982260">
          <w:marLeft w:val="432"/>
          <w:marRight w:val="0"/>
          <w:marTop w:val="120"/>
          <w:marBottom w:val="0"/>
          <w:divBdr>
            <w:top w:val="none" w:sz="0" w:space="0" w:color="auto"/>
            <w:left w:val="none" w:sz="0" w:space="0" w:color="auto"/>
            <w:bottom w:val="none" w:sz="0" w:space="0" w:color="auto"/>
            <w:right w:val="none" w:sz="0" w:space="0" w:color="auto"/>
          </w:divBdr>
        </w:div>
        <w:div w:id="623541283">
          <w:marLeft w:val="432"/>
          <w:marRight w:val="0"/>
          <w:marTop w:val="120"/>
          <w:marBottom w:val="0"/>
          <w:divBdr>
            <w:top w:val="none" w:sz="0" w:space="0" w:color="auto"/>
            <w:left w:val="none" w:sz="0" w:space="0" w:color="auto"/>
            <w:bottom w:val="none" w:sz="0" w:space="0" w:color="auto"/>
            <w:right w:val="none" w:sz="0" w:space="0" w:color="auto"/>
          </w:divBdr>
        </w:div>
        <w:div w:id="1072509139">
          <w:marLeft w:val="432"/>
          <w:marRight w:val="0"/>
          <w:marTop w:val="120"/>
          <w:marBottom w:val="0"/>
          <w:divBdr>
            <w:top w:val="none" w:sz="0" w:space="0" w:color="auto"/>
            <w:left w:val="none" w:sz="0" w:space="0" w:color="auto"/>
            <w:bottom w:val="none" w:sz="0" w:space="0" w:color="auto"/>
            <w:right w:val="none" w:sz="0" w:space="0" w:color="auto"/>
          </w:divBdr>
        </w:div>
        <w:div w:id="1368024447">
          <w:marLeft w:val="432"/>
          <w:marRight w:val="0"/>
          <w:marTop w:val="120"/>
          <w:marBottom w:val="0"/>
          <w:divBdr>
            <w:top w:val="none" w:sz="0" w:space="0" w:color="auto"/>
            <w:left w:val="none" w:sz="0" w:space="0" w:color="auto"/>
            <w:bottom w:val="none" w:sz="0" w:space="0" w:color="auto"/>
            <w:right w:val="none" w:sz="0" w:space="0" w:color="auto"/>
          </w:divBdr>
        </w:div>
        <w:div w:id="712967888">
          <w:marLeft w:val="432"/>
          <w:marRight w:val="0"/>
          <w:marTop w:val="120"/>
          <w:marBottom w:val="0"/>
          <w:divBdr>
            <w:top w:val="none" w:sz="0" w:space="0" w:color="auto"/>
            <w:left w:val="none" w:sz="0" w:space="0" w:color="auto"/>
            <w:bottom w:val="none" w:sz="0" w:space="0" w:color="auto"/>
            <w:right w:val="none" w:sz="0" w:space="0" w:color="auto"/>
          </w:divBdr>
        </w:div>
        <w:div w:id="1075712749">
          <w:marLeft w:val="432"/>
          <w:marRight w:val="0"/>
          <w:marTop w:val="120"/>
          <w:marBottom w:val="0"/>
          <w:divBdr>
            <w:top w:val="none" w:sz="0" w:space="0" w:color="auto"/>
            <w:left w:val="none" w:sz="0" w:space="0" w:color="auto"/>
            <w:bottom w:val="none" w:sz="0" w:space="0" w:color="auto"/>
            <w:right w:val="none" w:sz="0" w:space="0" w:color="auto"/>
          </w:divBdr>
        </w:div>
        <w:div w:id="1524400020">
          <w:marLeft w:val="432"/>
          <w:marRight w:val="0"/>
          <w:marTop w:val="120"/>
          <w:marBottom w:val="0"/>
          <w:divBdr>
            <w:top w:val="none" w:sz="0" w:space="0" w:color="auto"/>
            <w:left w:val="none" w:sz="0" w:space="0" w:color="auto"/>
            <w:bottom w:val="none" w:sz="0" w:space="0" w:color="auto"/>
            <w:right w:val="none" w:sz="0" w:space="0" w:color="auto"/>
          </w:divBdr>
        </w:div>
        <w:div w:id="1515338591">
          <w:marLeft w:val="432"/>
          <w:marRight w:val="0"/>
          <w:marTop w:val="120"/>
          <w:marBottom w:val="0"/>
          <w:divBdr>
            <w:top w:val="none" w:sz="0" w:space="0" w:color="auto"/>
            <w:left w:val="none" w:sz="0" w:space="0" w:color="auto"/>
            <w:bottom w:val="none" w:sz="0" w:space="0" w:color="auto"/>
            <w:right w:val="none" w:sz="0" w:space="0" w:color="auto"/>
          </w:divBdr>
        </w:div>
        <w:div w:id="1943606761">
          <w:marLeft w:val="432"/>
          <w:marRight w:val="0"/>
          <w:marTop w:val="120"/>
          <w:marBottom w:val="0"/>
          <w:divBdr>
            <w:top w:val="none" w:sz="0" w:space="0" w:color="auto"/>
            <w:left w:val="none" w:sz="0" w:space="0" w:color="auto"/>
            <w:bottom w:val="none" w:sz="0" w:space="0" w:color="auto"/>
            <w:right w:val="none" w:sz="0" w:space="0" w:color="auto"/>
          </w:divBdr>
        </w:div>
        <w:div w:id="2070419162">
          <w:marLeft w:val="432"/>
          <w:marRight w:val="0"/>
          <w:marTop w:val="120"/>
          <w:marBottom w:val="0"/>
          <w:divBdr>
            <w:top w:val="none" w:sz="0" w:space="0" w:color="auto"/>
            <w:left w:val="none" w:sz="0" w:space="0" w:color="auto"/>
            <w:bottom w:val="none" w:sz="0" w:space="0" w:color="auto"/>
            <w:right w:val="none" w:sz="0" w:space="0" w:color="auto"/>
          </w:divBdr>
        </w:div>
        <w:div w:id="1051806241">
          <w:marLeft w:val="432"/>
          <w:marRight w:val="0"/>
          <w:marTop w:val="120"/>
          <w:marBottom w:val="0"/>
          <w:divBdr>
            <w:top w:val="none" w:sz="0" w:space="0" w:color="auto"/>
            <w:left w:val="none" w:sz="0" w:space="0" w:color="auto"/>
            <w:bottom w:val="none" w:sz="0" w:space="0" w:color="auto"/>
            <w:right w:val="none" w:sz="0" w:space="0" w:color="auto"/>
          </w:divBdr>
        </w:div>
      </w:divsChild>
    </w:div>
    <w:div w:id="21088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7</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wthoi</dc:creator>
  <cp:keywords/>
  <dc:description/>
  <cp:lastModifiedBy>wthoi</cp:lastModifiedBy>
  <cp:revision>15</cp:revision>
  <dcterms:created xsi:type="dcterms:W3CDTF">2019-12-07T14:30:00Z</dcterms:created>
  <dcterms:modified xsi:type="dcterms:W3CDTF">2021-09-03T09:36:00Z</dcterms:modified>
</cp:coreProperties>
</file>